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3523F" w14:textId="130F6914" w:rsidR="00D124DB" w:rsidRPr="003622D9" w:rsidRDefault="00D124DB" w:rsidP="00D124DB">
      <w:pPr>
        <w:pStyle w:val="Nagwek1"/>
        <w:numPr>
          <w:ilvl w:val="0"/>
          <w:numId w:val="0"/>
        </w:numPr>
        <w:ind w:left="432" w:hanging="432"/>
        <w:rPr>
          <w:rFonts w:ascii="Open Sans" w:hAnsi="Open Sans" w:cs="Open Sans"/>
          <w:sz w:val="22"/>
          <w:szCs w:val="22"/>
          <w:lang w:val="pl-PL"/>
        </w:rPr>
      </w:pPr>
      <w:r w:rsidRPr="003622D9">
        <w:rPr>
          <w:rFonts w:ascii="Open Sans" w:hAnsi="Open Sans" w:cs="Open Sans"/>
          <w:caps w:val="0"/>
          <w:sz w:val="22"/>
          <w:szCs w:val="22"/>
          <w:lang w:val="pl-PL"/>
        </w:rPr>
        <w:t xml:space="preserve">Załącznik nr </w:t>
      </w:r>
      <w:r>
        <w:rPr>
          <w:rFonts w:ascii="Open Sans" w:hAnsi="Open Sans" w:cs="Open Sans"/>
          <w:caps w:val="0"/>
          <w:sz w:val="22"/>
          <w:szCs w:val="22"/>
          <w:lang w:val="pl-PL"/>
        </w:rPr>
        <w:t>2</w:t>
      </w:r>
      <w:r w:rsidRPr="003622D9">
        <w:rPr>
          <w:rFonts w:ascii="Open Sans" w:hAnsi="Open Sans" w:cs="Open Sans"/>
          <w:caps w:val="0"/>
          <w:sz w:val="22"/>
          <w:szCs w:val="22"/>
          <w:lang w:val="pl-PL"/>
        </w:rPr>
        <w:t xml:space="preserve"> do Regulaminu</w:t>
      </w:r>
    </w:p>
    <w:p w14:paraId="45E8A6A6" w14:textId="05FFF1C7" w:rsidR="005D1D80" w:rsidRDefault="005D1D80" w:rsidP="005D1D80">
      <w:pPr>
        <w:pStyle w:val="Nagwek"/>
        <w:spacing w:after="120" w:line="276" w:lineRule="auto"/>
        <w:rPr>
          <w:rFonts w:ascii="Open Sans Light" w:hAnsi="Open Sans Light" w:cs="Open Sans Light"/>
        </w:rPr>
      </w:pPr>
      <w:r w:rsidRPr="005D1D80">
        <w:rPr>
          <w:rFonts w:ascii="Open Sans Light" w:hAnsi="Open Sans Light" w:cs="Open Sans Light"/>
        </w:rPr>
        <w:t>Działanie: FENX.02.05 Woda do spożycia</w:t>
      </w:r>
    </w:p>
    <w:p w14:paraId="094E054D" w14:textId="77777777" w:rsidR="005D1D80" w:rsidRPr="0012308F" w:rsidRDefault="005D1D80" w:rsidP="005D1D80">
      <w:pPr>
        <w:pStyle w:val="Nagwek"/>
        <w:spacing w:after="120" w:line="276" w:lineRule="auto"/>
        <w:rPr>
          <w:rFonts w:ascii="Open Sans Light" w:hAnsi="Open Sans Light" w:cs="Open Sans Light"/>
        </w:rPr>
      </w:pPr>
      <w:r w:rsidRPr="00565FDB">
        <w:rPr>
          <w:rFonts w:ascii="Open Sans Light" w:hAnsi="Open Sans Light" w:cs="Open Sans Light"/>
        </w:rPr>
        <w:t>Podział kryteriów pomiędzy etapy oceny</w:t>
      </w:r>
    </w:p>
    <w:p w14:paraId="60AFA2A9" w14:textId="2E695DDE" w:rsidR="00F1385F" w:rsidRPr="0012308F" w:rsidRDefault="00F1385F" w:rsidP="0012308F">
      <w:pPr>
        <w:spacing w:after="0" w:line="276" w:lineRule="auto"/>
        <w:jc w:val="both"/>
        <w:rPr>
          <w:rFonts w:ascii="Open Sans Light" w:hAnsi="Open Sans Light" w:cs="Open Sans Light"/>
        </w:rPr>
      </w:pPr>
    </w:p>
    <w:tbl>
      <w:tblPr>
        <w:tblStyle w:val="Tabela-Siatka"/>
        <w:tblW w:w="13462" w:type="dxa"/>
        <w:tblLayout w:type="fixed"/>
        <w:tblLook w:val="04A0" w:firstRow="1" w:lastRow="0" w:firstColumn="1" w:lastColumn="0" w:noHBand="0" w:noVBand="1"/>
        <w:tblCaption w:val="Podział kryteriów pomiędzy etapy oceny"/>
        <w:tblDescription w:val="W tabeli podzielono kryteria na te oceniane w I i II etapie oceny wniosków o dofinansowanie"/>
      </w:tblPr>
      <w:tblGrid>
        <w:gridCol w:w="1224"/>
        <w:gridCol w:w="5292"/>
        <w:gridCol w:w="1701"/>
        <w:gridCol w:w="2126"/>
        <w:gridCol w:w="3119"/>
      </w:tblGrid>
      <w:tr w:rsidR="00ED0D0E" w:rsidRPr="009919F1" w14:paraId="6A38E222" w14:textId="77777777" w:rsidTr="005D1D80">
        <w:tc>
          <w:tcPr>
            <w:tcW w:w="13462" w:type="dxa"/>
            <w:gridSpan w:val="5"/>
            <w:shd w:val="clear" w:color="auto" w:fill="BFBFBF" w:themeFill="background1" w:themeFillShade="BF"/>
          </w:tcPr>
          <w:p w14:paraId="38A34272" w14:textId="7D4EEA1A" w:rsidR="00ED0D0E" w:rsidRPr="00EE4D4B" w:rsidRDefault="00E776AC" w:rsidP="0012308F">
            <w:pPr>
              <w:spacing w:line="276" w:lineRule="auto"/>
              <w:ind w:left="94"/>
              <w:jc w:val="both"/>
              <w:rPr>
                <w:rFonts w:ascii="Open Sans Light" w:hAnsi="Open Sans Light" w:cs="Open Sans Light"/>
                <w:b/>
                <w:sz w:val="20"/>
              </w:rPr>
            </w:pPr>
            <w:r w:rsidRPr="00EE4D4B">
              <w:rPr>
                <w:rFonts w:ascii="Open Sans Light" w:hAnsi="Open Sans Light" w:cs="Open Sans Light"/>
                <w:b/>
                <w:sz w:val="20"/>
              </w:rPr>
              <w:t xml:space="preserve">1. </w:t>
            </w:r>
            <w:r w:rsidR="00ED0D0E" w:rsidRPr="00EE4D4B">
              <w:rPr>
                <w:rFonts w:ascii="Open Sans Light" w:hAnsi="Open Sans Light" w:cs="Open Sans Light"/>
                <w:b/>
                <w:sz w:val="20"/>
              </w:rPr>
              <w:t>OCENA ETAP I</w:t>
            </w:r>
          </w:p>
        </w:tc>
      </w:tr>
      <w:tr w:rsidR="00ED0D0E" w:rsidRPr="009919F1" w14:paraId="1B1A6371" w14:textId="77777777" w:rsidTr="005D1D80">
        <w:tc>
          <w:tcPr>
            <w:tcW w:w="13462" w:type="dxa"/>
            <w:gridSpan w:val="5"/>
            <w:shd w:val="clear" w:color="auto" w:fill="BFBFBF" w:themeFill="background1" w:themeFillShade="BF"/>
          </w:tcPr>
          <w:p w14:paraId="6764A4FD" w14:textId="53614B73" w:rsidR="00ED0D0E" w:rsidRPr="00EE4D4B" w:rsidRDefault="00ED0D0E" w:rsidP="0023792F">
            <w:pPr>
              <w:spacing w:line="276" w:lineRule="auto"/>
              <w:ind w:firstLine="601"/>
              <w:jc w:val="both"/>
              <w:rPr>
                <w:rFonts w:ascii="Open Sans Light" w:hAnsi="Open Sans Light" w:cs="Open Sans Light"/>
                <w:sz w:val="20"/>
              </w:rPr>
            </w:pPr>
            <w:r w:rsidRPr="00EE4D4B">
              <w:rPr>
                <w:rFonts w:ascii="Open Sans Light" w:hAnsi="Open Sans Light" w:cs="Open Sans Light"/>
                <w:sz w:val="20"/>
              </w:rPr>
              <w:t xml:space="preserve">1.1 </w:t>
            </w:r>
            <w:r w:rsidR="0023792F" w:rsidRPr="00EE4D4B">
              <w:rPr>
                <w:rFonts w:ascii="Open Sans Light" w:hAnsi="Open Sans Light" w:cs="Open Sans Light"/>
                <w:sz w:val="20"/>
              </w:rPr>
              <w:t xml:space="preserve">KRYTERIA </w:t>
            </w:r>
            <w:r w:rsidR="006C431D" w:rsidRPr="00EE4D4B">
              <w:rPr>
                <w:rFonts w:ascii="Open Sans Light" w:hAnsi="Open Sans Light" w:cs="Open Sans Light"/>
                <w:sz w:val="20"/>
              </w:rPr>
              <w:t>HORYZONTALNE</w:t>
            </w:r>
          </w:p>
        </w:tc>
      </w:tr>
      <w:tr w:rsidR="00ED0D0E" w:rsidRPr="009919F1" w14:paraId="2ECA776E" w14:textId="77777777" w:rsidTr="005D1D80">
        <w:tc>
          <w:tcPr>
            <w:tcW w:w="13462" w:type="dxa"/>
            <w:gridSpan w:val="5"/>
            <w:shd w:val="clear" w:color="auto" w:fill="BFBFBF" w:themeFill="background1" w:themeFillShade="BF"/>
          </w:tcPr>
          <w:p w14:paraId="60A82CC5" w14:textId="018343E6" w:rsidR="00ED0D0E" w:rsidRPr="00EE4D4B" w:rsidRDefault="00ED0D0E" w:rsidP="0012308F">
            <w:pPr>
              <w:spacing w:line="276" w:lineRule="auto"/>
              <w:ind w:firstLine="1168"/>
              <w:jc w:val="both"/>
              <w:rPr>
                <w:rFonts w:ascii="Open Sans Light" w:hAnsi="Open Sans Light" w:cs="Open Sans Light"/>
                <w:sz w:val="20"/>
              </w:rPr>
            </w:pPr>
            <w:r w:rsidRPr="00EE4D4B">
              <w:rPr>
                <w:rFonts w:ascii="Open Sans Light" w:hAnsi="Open Sans Light" w:cs="Open Sans Light"/>
                <w:sz w:val="20"/>
              </w:rPr>
              <w:t>1.1.1 KRYTERIA HORYZONTALNE</w:t>
            </w:r>
            <w:r w:rsidR="006C431D" w:rsidRPr="00EE4D4B">
              <w:rPr>
                <w:rFonts w:ascii="Open Sans Light" w:hAnsi="Open Sans Light" w:cs="Open Sans Light"/>
                <w:sz w:val="20"/>
              </w:rPr>
              <w:t xml:space="preserve"> OBLIGATORYJNE</w:t>
            </w:r>
          </w:p>
        </w:tc>
      </w:tr>
      <w:tr w:rsidR="00ED0D0E" w:rsidRPr="005D1D80" w14:paraId="57B510ED" w14:textId="77777777" w:rsidTr="005D1D80">
        <w:trPr>
          <w:trHeight w:val="419"/>
        </w:trPr>
        <w:tc>
          <w:tcPr>
            <w:tcW w:w="1224" w:type="dxa"/>
            <w:shd w:val="clear" w:color="auto" w:fill="BFBFBF" w:themeFill="background1" w:themeFillShade="BF"/>
          </w:tcPr>
          <w:p w14:paraId="46471DAF" w14:textId="06405E59" w:rsidR="00ED0D0E" w:rsidRPr="00EE4D4B" w:rsidRDefault="005D1D80" w:rsidP="0012308F">
            <w:pPr>
              <w:spacing w:line="276" w:lineRule="auto"/>
              <w:jc w:val="center"/>
              <w:rPr>
                <w:rFonts w:ascii="Open Sans Light" w:eastAsia="Times New Roman" w:hAnsi="Open Sans Light" w:cs="Open Sans Light"/>
                <w:b/>
                <w:iCs/>
                <w:smallCaps/>
                <w:sz w:val="20"/>
                <w:szCs w:val="20"/>
                <w:lang w:eastAsia="pl-PL"/>
              </w:rPr>
            </w:pPr>
            <w:r w:rsidRPr="00EE4D4B">
              <w:rPr>
                <w:rFonts w:ascii="Open Sans Light" w:eastAsia="Times New Roman" w:hAnsi="Open Sans Light" w:cs="Open Sans Light"/>
                <w:b/>
                <w:iCs/>
                <w:smallCaps/>
                <w:sz w:val="20"/>
                <w:szCs w:val="20"/>
                <w:lang w:eastAsia="pl-PL"/>
              </w:rPr>
              <w:t xml:space="preserve">nr </w:t>
            </w:r>
            <w:r w:rsidR="00EE48EC" w:rsidRPr="00EE4D4B">
              <w:rPr>
                <w:rFonts w:ascii="Open Sans Light" w:eastAsia="Times New Roman" w:hAnsi="Open Sans Light" w:cs="Open Sans Light"/>
                <w:b/>
                <w:iCs/>
                <w:smallCaps/>
                <w:sz w:val="20"/>
                <w:szCs w:val="20"/>
                <w:lang w:eastAsia="pl-PL"/>
              </w:rPr>
              <w:t>kryterium</w:t>
            </w:r>
            <w:r w:rsidR="00EE48EC" w:rsidRPr="00EE4D4B">
              <w:rPr>
                <w:rStyle w:val="Odwoanieprzypisudolnego"/>
                <w:rFonts w:ascii="Open Sans Light" w:eastAsia="Times New Roman" w:hAnsi="Open Sans Light" w:cs="Open Sans Light"/>
                <w:b/>
                <w:iCs/>
                <w:smallCaps/>
                <w:sz w:val="20"/>
                <w:szCs w:val="20"/>
                <w:lang w:eastAsia="pl-PL"/>
              </w:rPr>
              <w:footnoteReference w:id="1"/>
            </w:r>
          </w:p>
        </w:tc>
        <w:tc>
          <w:tcPr>
            <w:tcW w:w="5292" w:type="dxa"/>
            <w:shd w:val="clear" w:color="auto" w:fill="BFBFBF" w:themeFill="background1" w:themeFillShade="BF"/>
          </w:tcPr>
          <w:p w14:paraId="314A9D2A" w14:textId="3E1069E7" w:rsidR="00ED0D0E" w:rsidRPr="00EE4D4B" w:rsidRDefault="00ED0D0E" w:rsidP="0012308F">
            <w:pPr>
              <w:spacing w:line="276" w:lineRule="auto"/>
              <w:jc w:val="center"/>
              <w:rPr>
                <w:rFonts w:ascii="Open Sans Light" w:eastAsia="Times New Roman" w:hAnsi="Open Sans Light" w:cs="Open Sans Light"/>
                <w:b/>
                <w:iCs/>
                <w:smallCaps/>
                <w:sz w:val="20"/>
                <w:szCs w:val="20"/>
                <w:lang w:eastAsia="pl-PL"/>
              </w:rPr>
            </w:pPr>
            <w:r w:rsidRPr="00EE4D4B">
              <w:rPr>
                <w:rFonts w:ascii="Open Sans Light" w:eastAsia="Times New Roman" w:hAnsi="Open Sans Light" w:cs="Open Sans Light"/>
                <w:b/>
                <w:iCs/>
                <w:smallCaps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5F44FE3F" w14:textId="282EB24C" w:rsidR="00ED0D0E" w:rsidRPr="00EE4D4B" w:rsidRDefault="00ED0D0E" w:rsidP="0012308F">
            <w:pPr>
              <w:spacing w:line="276" w:lineRule="auto"/>
              <w:jc w:val="center"/>
              <w:rPr>
                <w:rFonts w:ascii="Open Sans Light" w:eastAsia="Times New Roman" w:hAnsi="Open Sans Light" w:cs="Open Sans Light"/>
                <w:b/>
                <w:iCs/>
                <w:smallCaps/>
                <w:sz w:val="20"/>
                <w:szCs w:val="20"/>
                <w:lang w:eastAsia="pl-PL"/>
              </w:rPr>
            </w:pPr>
            <w:r w:rsidRPr="00EE4D4B">
              <w:rPr>
                <w:rFonts w:ascii="Open Sans Light" w:eastAsia="Times New Roman" w:hAnsi="Open Sans Light" w:cs="Open Sans Light"/>
                <w:b/>
                <w:iCs/>
                <w:smallCap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167C1EE4" w14:textId="29A5F8C2" w:rsidR="00ED0D0E" w:rsidRPr="00EE4D4B" w:rsidRDefault="00ED0D0E" w:rsidP="0012308F">
            <w:pPr>
              <w:spacing w:line="276" w:lineRule="auto"/>
              <w:jc w:val="center"/>
              <w:rPr>
                <w:rFonts w:ascii="Open Sans Light" w:eastAsia="Times New Roman" w:hAnsi="Open Sans Light" w:cs="Open Sans Light"/>
                <w:b/>
                <w:iCs/>
                <w:smallCaps/>
                <w:sz w:val="20"/>
                <w:szCs w:val="20"/>
                <w:lang w:eastAsia="pl-PL"/>
              </w:rPr>
            </w:pPr>
            <w:r w:rsidRPr="00EE4D4B">
              <w:rPr>
                <w:rFonts w:ascii="Open Sans Light" w:eastAsia="Times New Roman" w:hAnsi="Open Sans Light" w:cs="Open Sans Light"/>
                <w:b/>
                <w:iCs/>
                <w:smallCaps/>
                <w:sz w:val="20"/>
                <w:szCs w:val="20"/>
                <w:lang w:eastAsia="pl-PL"/>
              </w:rPr>
              <w:t>Obszar oceny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32B9C102" w14:textId="19E321E8" w:rsidR="00ED0D0E" w:rsidRPr="00EE4D4B" w:rsidRDefault="00ED0D0E" w:rsidP="0012308F">
            <w:pPr>
              <w:spacing w:line="276" w:lineRule="auto"/>
              <w:jc w:val="center"/>
              <w:rPr>
                <w:rFonts w:ascii="Open Sans Light" w:eastAsia="Times New Roman" w:hAnsi="Open Sans Light" w:cs="Open Sans Light"/>
                <w:b/>
                <w:iCs/>
                <w:smallCaps/>
                <w:sz w:val="20"/>
                <w:szCs w:val="20"/>
                <w:lang w:eastAsia="pl-PL"/>
              </w:rPr>
            </w:pPr>
            <w:r w:rsidRPr="00EE4D4B">
              <w:rPr>
                <w:rFonts w:ascii="Open Sans Light" w:eastAsia="Times New Roman" w:hAnsi="Open Sans Light" w:cs="Open Sans Light"/>
                <w:b/>
                <w:iCs/>
                <w:smallCaps/>
                <w:sz w:val="20"/>
                <w:szCs w:val="20"/>
                <w:lang w:eastAsia="pl-PL"/>
              </w:rPr>
              <w:t>UWAGI</w:t>
            </w:r>
          </w:p>
        </w:tc>
      </w:tr>
      <w:tr w:rsidR="00ED0D0E" w:rsidRPr="009919F1" w14:paraId="5F3D7A91" w14:textId="77777777" w:rsidTr="005D1D80">
        <w:tc>
          <w:tcPr>
            <w:tcW w:w="1224" w:type="dxa"/>
          </w:tcPr>
          <w:p w14:paraId="5C274667" w14:textId="4E5F943F" w:rsidR="00ED0D0E" w:rsidRPr="00EE4D4B" w:rsidRDefault="00F93E98" w:rsidP="0012308F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5292" w:type="dxa"/>
          </w:tcPr>
          <w:p w14:paraId="69C4CA23" w14:textId="4950FAD2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Zgodność z Programem Fundusze Europejskie na Infrastrukturę, Klimat, Środowisko 2021-2027, Szczegółowym opisem priorytetów </w:t>
            </w:r>
            <w:proofErr w:type="spellStart"/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FEnIKS</w:t>
            </w:r>
            <w:proofErr w:type="spellEnd"/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 oraz regulaminem wyboru projektów </w:t>
            </w:r>
            <w:bookmarkStart w:id="0" w:name="_Hlk121734622"/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(dokumenty aktualne na dzień złożenia wniosku o dofinansowanie)</w:t>
            </w:r>
            <w:bookmarkEnd w:id="0"/>
          </w:p>
        </w:tc>
        <w:tc>
          <w:tcPr>
            <w:tcW w:w="1701" w:type="dxa"/>
          </w:tcPr>
          <w:p w14:paraId="005C3C55" w14:textId="40C9B7F6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3D8B900F" w14:textId="74DA9392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2E226625" w14:textId="77777777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0D0E" w:rsidRPr="009919F1" w14:paraId="5467FB5C" w14:textId="77777777" w:rsidTr="005D1D80">
        <w:tc>
          <w:tcPr>
            <w:tcW w:w="1224" w:type="dxa"/>
          </w:tcPr>
          <w:p w14:paraId="5493F19A" w14:textId="2D0EBD4F" w:rsidR="00ED0D0E" w:rsidRPr="00EE4D4B" w:rsidRDefault="00F93E98" w:rsidP="0012308F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2.</w:t>
            </w:r>
          </w:p>
        </w:tc>
        <w:tc>
          <w:tcPr>
            <w:tcW w:w="5292" w:type="dxa"/>
          </w:tcPr>
          <w:p w14:paraId="4AA8947C" w14:textId="0D413E15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Zgodność projektu z dokumentami składającymi się na spełnienie warunków podstawowych</w:t>
            </w:r>
          </w:p>
        </w:tc>
        <w:tc>
          <w:tcPr>
            <w:tcW w:w="1701" w:type="dxa"/>
          </w:tcPr>
          <w:p w14:paraId="5E2546F0" w14:textId="74E80B4A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40553655" w14:textId="6D8338C1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20123A31" w14:textId="77777777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0D0E" w:rsidRPr="009919F1" w14:paraId="153B3933" w14:textId="77777777" w:rsidTr="005D1D80">
        <w:tc>
          <w:tcPr>
            <w:tcW w:w="1224" w:type="dxa"/>
          </w:tcPr>
          <w:p w14:paraId="3422E226" w14:textId="35FF79BB" w:rsidR="00ED0D0E" w:rsidRPr="00EE4D4B" w:rsidRDefault="00F93E98" w:rsidP="0012308F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3.</w:t>
            </w:r>
          </w:p>
        </w:tc>
        <w:tc>
          <w:tcPr>
            <w:tcW w:w="5292" w:type="dxa"/>
          </w:tcPr>
          <w:p w14:paraId="394A8A98" w14:textId="1AF76F97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Zgodność z realizacją zasady n+2</w:t>
            </w:r>
          </w:p>
        </w:tc>
        <w:tc>
          <w:tcPr>
            <w:tcW w:w="1701" w:type="dxa"/>
          </w:tcPr>
          <w:p w14:paraId="67BE5ED0" w14:textId="0505FF9C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7BB3CB4C" w14:textId="571F52F5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3B8B19E5" w14:textId="77777777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0D0E" w:rsidRPr="009919F1" w14:paraId="3D121709" w14:textId="77777777" w:rsidTr="005D1D80">
        <w:tc>
          <w:tcPr>
            <w:tcW w:w="1224" w:type="dxa"/>
          </w:tcPr>
          <w:p w14:paraId="1C0E2189" w14:textId="06486B90" w:rsidR="00ED0D0E" w:rsidRPr="00EE4D4B" w:rsidRDefault="00F93E98" w:rsidP="0012308F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4.</w:t>
            </w:r>
          </w:p>
        </w:tc>
        <w:tc>
          <w:tcPr>
            <w:tcW w:w="5292" w:type="dxa"/>
          </w:tcPr>
          <w:p w14:paraId="65294D99" w14:textId="2180C408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Projekt nie został zakończony przed złożeniem dokumentacji aplikacyjnej</w:t>
            </w:r>
          </w:p>
        </w:tc>
        <w:tc>
          <w:tcPr>
            <w:tcW w:w="1701" w:type="dxa"/>
          </w:tcPr>
          <w:p w14:paraId="271744AD" w14:textId="522BC289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7C92D5B3" w14:textId="0D483B4A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281D1C2E" w14:textId="77777777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0D0E" w:rsidRPr="009919F1" w14:paraId="3B05C07E" w14:textId="77777777" w:rsidTr="005D1D80">
        <w:tc>
          <w:tcPr>
            <w:tcW w:w="1224" w:type="dxa"/>
          </w:tcPr>
          <w:p w14:paraId="7A0A9B98" w14:textId="41B41D31" w:rsidR="00ED0D0E" w:rsidRPr="00EE4D4B" w:rsidRDefault="00F93E98" w:rsidP="0012308F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5.</w:t>
            </w:r>
          </w:p>
        </w:tc>
        <w:tc>
          <w:tcPr>
            <w:tcW w:w="5292" w:type="dxa"/>
          </w:tcPr>
          <w:p w14:paraId="04000292" w14:textId="63ED2804" w:rsidR="00ED0D0E" w:rsidRPr="00EE4D4B" w:rsidRDefault="00ED0D0E" w:rsidP="0012308F">
            <w:pPr>
              <w:pStyle w:val="Default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 xml:space="preserve">Kompletność dokumentacji aplikacyjnej i  spójność informacji zawartych we wniosku, załącznikach do wniosku. </w:t>
            </w:r>
          </w:p>
        </w:tc>
        <w:tc>
          <w:tcPr>
            <w:tcW w:w="1701" w:type="dxa"/>
          </w:tcPr>
          <w:p w14:paraId="4F95F799" w14:textId="73D2EAD1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0F6F4155" w14:textId="42B25C91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3A2A0663" w14:textId="70E42A1E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 xml:space="preserve">Weryfikacja kompletności wymaganej dokumentacji aplikacyjnej oraz spójności informacji zawartych we wniosku oraz załącznikach do wniosku </w:t>
            </w:r>
            <w:r w:rsidRPr="00EE4D4B">
              <w:rPr>
                <w:rFonts w:ascii="Open Sans Light" w:hAnsi="Open Sans Light" w:cs="Open Sans Light"/>
                <w:b/>
                <w:sz w:val="20"/>
                <w:szCs w:val="20"/>
              </w:rPr>
              <w:t>w zakresie kryteriów o</w:t>
            </w:r>
            <w:r w:rsidR="0023792F" w:rsidRPr="00EE4D4B">
              <w:rPr>
                <w:rFonts w:ascii="Open Sans Light" w:hAnsi="Open Sans Light" w:cs="Open Sans Light"/>
                <w:b/>
                <w:sz w:val="20"/>
                <w:szCs w:val="20"/>
              </w:rPr>
              <w:t>cenianych na danym etapie oceny</w:t>
            </w:r>
          </w:p>
        </w:tc>
      </w:tr>
      <w:tr w:rsidR="00ED0D0E" w:rsidRPr="009919F1" w14:paraId="36FAFAF4" w14:textId="77777777" w:rsidTr="005D1D80">
        <w:tc>
          <w:tcPr>
            <w:tcW w:w="1224" w:type="dxa"/>
          </w:tcPr>
          <w:p w14:paraId="3FFA6B1C" w14:textId="2CABC748" w:rsidR="00ED0D0E" w:rsidRPr="00EE4D4B" w:rsidRDefault="00F93E98" w:rsidP="0012308F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8.</w:t>
            </w:r>
          </w:p>
        </w:tc>
        <w:tc>
          <w:tcPr>
            <w:tcW w:w="5292" w:type="dxa"/>
          </w:tcPr>
          <w:p w14:paraId="04EBDF67" w14:textId="488CEAB4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Wnioskodawca nie podlega wykluczeniu z ubiegania się o dofinansowanie</w:t>
            </w:r>
          </w:p>
        </w:tc>
        <w:tc>
          <w:tcPr>
            <w:tcW w:w="1701" w:type="dxa"/>
          </w:tcPr>
          <w:p w14:paraId="44BD2F87" w14:textId="7D874716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67E617CE" w14:textId="47488904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012C2C2E" w14:textId="77777777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0D0E" w:rsidRPr="009919F1" w14:paraId="0F477DD8" w14:textId="77777777" w:rsidTr="005D1D80">
        <w:tc>
          <w:tcPr>
            <w:tcW w:w="1224" w:type="dxa"/>
          </w:tcPr>
          <w:p w14:paraId="5D1F117B" w14:textId="491C4AF4" w:rsidR="00ED0D0E" w:rsidRPr="00EE4D4B" w:rsidRDefault="00F93E98" w:rsidP="0012308F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9.</w:t>
            </w:r>
          </w:p>
        </w:tc>
        <w:tc>
          <w:tcPr>
            <w:tcW w:w="5292" w:type="dxa"/>
          </w:tcPr>
          <w:p w14:paraId="0BEE91B3" w14:textId="77AC8572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Wnioskodawca nie jest przedsiębiorstwem w trudnej sytuacji w rozumieniu unijnych przepisów dotyczących pomocy państwa</w:t>
            </w:r>
          </w:p>
        </w:tc>
        <w:tc>
          <w:tcPr>
            <w:tcW w:w="1701" w:type="dxa"/>
          </w:tcPr>
          <w:p w14:paraId="11BBB98E" w14:textId="49BF1E3D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5A5836B9" w14:textId="28D5160D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053847FA" w14:textId="77777777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0D0E" w:rsidRPr="009919F1" w14:paraId="2B3292FA" w14:textId="77777777" w:rsidTr="005D1D80">
        <w:tc>
          <w:tcPr>
            <w:tcW w:w="1224" w:type="dxa"/>
          </w:tcPr>
          <w:p w14:paraId="250A5915" w14:textId="2DEF11F7" w:rsidR="00ED0D0E" w:rsidRPr="00EE4D4B" w:rsidRDefault="00F93E98" w:rsidP="0012308F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10.</w:t>
            </w:r>
          </w:p>
        </w:tc>
        <w:tc>
          <w:tcPr>
            <w:tcW w:w="5292" w:type="dxa"/>
          </w:tcPr>
          <w:p w14:paraId="19084B08" w14:textId="30886B43" w:rsidR="00ED0D0E" w:rsidRPr="00EE4D4B" w:rsidRDefault="00ED0D0E" w:rsidP="0012308F">
            <w:pPr>
              <w:pStyle w:val="Default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  <w:t>Brak podwójnego finansowania</w:t>
            </w:r>
          </w:p>
        </w:tc>
        <w:tc>
          <w:tcPr>
            <w:tcW w:w="1701" w:type="dxa"/>
          </w:tcPr>
          <w:p w14:paraId="0FD302C2" w14:textId="43F7DEC1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6E332FF2" w14:textId="0EE05868" w:rsidR="00ED0D0E" w:rsidRPr="00EE4D4B" w:rsidRDefault="007D676F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3CC3400A" w14:textId="77777777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0D0E" w:rsidRPr="009919F1" w14:paraId="1C9A212D" w14:textId="77777777" w:rsidTr="005D1D80">
        <w:tc>
          <w:tcPr>
            <w:tcW w:w="1224" w:type="dxa"/>
          </w:tcPr>
          <w:p w14:paraId="34C42981" w14:textId="114A1D10" w:rsidR="00ED0D0E" w:rsidRPr="00EE4D4B" w:rsidRDefault="00F93E98" w:rsidP="0012308F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14.</w:t>
            </w:r>
          </w:p>
        </w:tc>
        <w:tc>
          <w:tcPr>
            <w:tcW w:w="5292" w:type="dxa"/>
          </w:tcPr>
          <w:p w14:paraId="64790564" w14:textId="63CAE8B7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Klauzula </w:t>
            </w:r>
            <w:proofErr w:type="spellStart"/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delokalizacyjna</w:t>
            </w:r>
            <w:proofErr w:type="spellEnd"/>
          </w:p>
        </w:tc>
        <w:tc>
          <w:tcPr>
            <w:tcW w:w="1701" w:type="dxa"/>
          </w:tcPr>
          <w:p w14:paraId="6285A57F" w14:textId="17296EBA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11D0AAC4" w14:textId="2D1D9263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0D33E817" w14:textId="77777777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0D0E" w:rsidRPr="009919F1" w14:paraId="13D28F64" w14:textId="77777777" w:rsidTr="005D1D80">
        <w:tc>
          <w:tcPr>
            <w:tcW w:w="1224" w:type="dxa"/>
          </w:tcPr>
          <w:p w14:paraId="20D513D8" w14:textId="05BB4F20" w:rsidR="00ED0D0E" w:rsidRPr="00EE4D4B" w:rsidRDefault="00F93E98" w:rsidP="0012308F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19.</w:t>
            </w:r>
          </w:p>
        </w:tc>
        <w:tc>
          <w:tcPr>
            <w:tcW w:w="5292" w:type="dxa"/>
          </w:tcPr>
          <w:p w14:paraId="2967016A" w14:textId="69375226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1701" w:type="dxa"/>
          </w:tcPr>
          <w:p w14:paraId="55286D3F" w14:textId="2B899C87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6FADFEF8" w14:textId="4FAC3E1C" w:rsidR="00ED0D0E" w:rsidRPr="00EE4D4B" w:rsidRDefault="007D676F" w:rsidP="0012308F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011B6A88" w14:textId="77777777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0D0E" w:rsidRPr="009919F1" w14:paraId="0A442F81" w14:textId="77777777" w:rsidTr="005D1D80">
        <w:tc>
          <w:tcPr>
            <w:tcW w:w="1224" w:type="dxa"/>
          </w:tcPr>
          <w:p w14:paraId="1DDC408B" w14:textId="15045565" w:rsidR="00ED0D0E" w:rsidRPr="00EE4D4B" w:rsidRDefault="00F93E98" w:rsidP="0012308F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20.</w:t>
            </w:r>
          </w:p>
        </w:tc>
        <w:tc>
          <w:tcPr>
            <w:tcW w:w="5292" w:type="dxa"/>
          </w:tcPr>
          <w:p w14:paraId="25A4C38E" w14:textId="0A576156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Zgodność projektu z Kartą Praw Podstawowych Unii Europejskiej </w:t>
            </w:r>
          </w:p>
        </w:tc>
        <w:tc>
          <w:tcPr>
            <w:tcW w:w="1701" w:type="dxa"/>
          </w:tcPr>
          <w:p w14:paraId="49BEE4E1" w14:textId="5946C168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3CEED4C2" w14:textId="1DD79815" w:rsidR="00ED0D0E" w:rsidRPr="00EE4D4B" w:rsidRDefault="007D676F" w:rsidP="0012308F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3164FCD4" w14:textId="77777777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0D0E" w:rsidRPr="009919F1" w14:paraId="3904E90E" w14:textId="77777777" w:rsidTr="005D1D80">
        <w:tc>
          <w:tcPr>
            <w:tcW w:w="1224" w:type="dxa"/>
            <w:tcBorders>
              <w:bottom w:val="single" w:sz="4" w:space="0" w:color="auto"/>
            </w:tcBorders>
          </w:tcPr>
          <w:p w14:paraId="318341EE" w14:textId="24941105" w:rsidR="00ED0D0E" w:rsidRPr="00EE4D4B" w:rsidRDefault="00F93E98" w:rsidP="0012308F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21.</w:t>
            </w:r>
          </w:p>
        </w:tc>
        <w:tc>
          <w:tcPr>
            <w:tcW w:w="5292" w:type="dxa"/>
            <w:tcBorders>
              <w:bottom w:val="single" w:sz="4" w:space="0" w:color="auto"/>
            </w:tcBorders>
          </w:tcPr>
          <w:p w14:paraId="138526C6" w14:textId="553DD870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Zgodność projektu z Konwencją o Prawach Osób Niepełnosprawnych.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6E82381" w14:textId="0A768EDF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62D2F33" w14:textId="72F22449" w:rsidR="00ED0D0E" w:rsidRPr="00EE4D4B" w:rsidRDefault="007D676F" w:rsidP="0012308F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E78BD5A" w14:textId="77777777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C431D" w:rsidRPr="009919F1" w14:paraId="5C0D387E" w14:textId="77777777" w:rsidTr="0058663B">
        <w:tc>
          <w:tcPr>
            <w:tcW w:w="13462" w:type="dxa"/>
            <w:gridSpan w:val="5"/>
            <w:shd w:val="clear" w:color="auto" w:fill="BFBFBF" w:themeFill="background1" w:themeFillShade="BF"/>
          </w:tcPr>
          <w:p w14:paraId="5E32C06F" w14:textId="19959FA6" w:rsidR="006C431D" w:rsidRPr="00EE4D4B" w:rsidRDefault="006C431D" w:rsidP="006C431D">
            <w:pPr>
              <w:spacing w:line="276" w:lineRule="auto"/>
              <w:ind w:firstLine="601"/>
              <w:jc w:val="both"/>
              <w:rPr>
                <w:rFonts w:ascii="Open Sans Light" w:hAnsi="Open Sans Light" w:cs="Open Sans Light"/>
                <w:sz w:val="20"/>
              </w:rPr>
            </w:pPr>
            <w:r w:rsidRPr="00EE4D4B">
              <w:rPr>
                <w:rFonts w:ascii="Open Sans Light" w:hAnsi="Open Sans Light" w:cs="Open Sans Light"/>
                <w:sz w:val="20"/>
              </w:rPr>
              <w:t>1.2 KRYTERIA SPECYFICZNE</w:t>
            </w:r>
          </w:p>
        </w:tc>
      </w:tr>
      <w:tr w:rsidR="00ED0D0E" w:rsidRPr="009919F1" w14:paraId="0F1E8051" w14:textId="77777777" w:rsidTr="005D1D80">
        <w:tc>
          <w:tcPr>
            <w:tcW w:w="13462" w:type="dxa"/>
            <w:gridSpan w:val="5"/>
            <w:shd w:val="clear" w:color="auto" w:fill="BFBFBF" w:themeFill="background1" w:themeFillShade="BF"/>
          </w:tcPr>
          <w:p w14:paraId="314A6C03" w14:textId="2764D639" w:rsidR="00ED0D0E" w:rsidRPr="00EE4D4B" w:rsidRDefault="00FA2D1D" w:rsidP="006C431D">
            <w:pPr>
              <w:spacing w:line="276" w:lineRule="auto"/>
              <w:ind w:firstLine="1168"/>
              <w:jc w:val="both"/>
              <w:rPr>
                <w:rFonts w:ascii="Open Sans Light" w:hAnsi="Open Sans Light" w:cs="Open Sans Light"/>
                <w:sz w:val="20"/>
              </w:rPr>
            </w:pPr>
            <w:r w:rsidRPr="00EE4D4B">
              <w:rPr>
                <w:rFonts w:ascii="Open Sans Light" w:hAnsi="Open Sans Light" w:cs="Open Sans Light"/>
                <w:sz w:val="20"/>
              </w:rPr>
              <w:t>1.2.1</w:t>
            </w:r>
            <w:r w:rsidR="00ED0D0E" w:rsidRPr="00EE4D4B">
              <w:rPr>
                <w:rFonts w:ascii="Open Sans Light" w:hAnsi="Open Sans Light" w:cs="Open Sans Light"/>
                <w:sz w:val="20"/>
              </w:rPr>
              <w:t xml:space="preserve"> KRYTERIA </w:t>
            </w:r>
            <w:r w:rsidR="008D627E" w:rsidRPr="00EE4D4B">
              <w:rPr>
                <w:rFonts w:ascii="Open Sans Light" w:hAnsi="Open Sans Light" w:cs="Open Sans Light"/>
                <w:sz w:val="20"/>
              </w:rPr>
              <w:t xml:space="preserve">SPECYFICZNE </w:t>
            </w:r>
            <w:r w:rsidR="006C431D" w:rsidRPr="00EE4D4B">
              <w:rPr>
                <w:rFonts w:ascii="Open Sans Light" w:hAnsi="Open Sans Light" w:cs="Open Sans Light"/>
                <w:sz w:val="20"/>
              </w:rPr>
              <w:t xml:space="preserve">OBLIGATORYJNE </w:t>
            </w:r>
            <w:r w:rsidR="008D627E" w:rsidRPr="00EE4D4B">
              <w:rPr>
                <w:rFonts w:ascii="Open Sans Light" w:hAnsi="Open Sans Light" w:cs="Open Sans Light"/>
                <w:sz w:val="20"/>
              </w:rPr>
              <w:t>DLA DZIAŁANIA FENX.0</w:t>
            </w:r>
            <w:r w:rsidR="006C431D" w:rsidRPr="00EE4D4B">
              <w:rPr>
                <w:rFonts w:ascii="Open Sans Light" w:hAnsi="Open Sans Light" w:cs="Open Sans Light"/>
                <w:sz w:val="20"/>
              </w:rPr>
              <w:t>2</w:t>
            </w:r>
            <w:r w:rsidR="008D627E" w:rsidRPr="00EE4D4B">
              <w:rPr>
                <w:rFonts w:ascii="Open Sans Light" w:hAnsi="Open Sans Light" w:cs="Open Sans Light"/>
                <w:sz w:val="20"/>
              </w:rPr>
              <w:t>.0</w:t>
            </w:r>
            <w:r w:rsidR="006C431D" w:rsidRPr="00EE4D4B">
              <w:rPr>
                <w:rFonts w:ascii="Open Sans Light" w:hAnsi="Open Sans Light" w:cs="Open Sans Light"/>
                <w:sz w:val="20"/>
              </w:rPr>
              <w:t>5</w:t>
            </w:r>
          </w:p>
        </w:tc>
      </w:tr>
      <w:tr w:rsidR="00ED0D0E" w:rsidRPr="009919F1" w14:paraId="613DEE53" w14:textId="77777777" w:rsidTr="005D1D80">
        <w:tc>
          <w:tcPr>
            <w:tcW w:w="1224" w:type="dxa"/>
          </w:tcPr>
          <w:p w14:paraId="6083730E" w14:textId="0363B0C5" w:rsidR="00ED0D0E" w:rsidRPr="00EE4D4B" w:rsidRDefault="00734F8C" w:rsidP="0012308F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5292" w:type="dxa"/>
          </w:tcPr>
          <w:p w14:paraId="2DE1BE6C" w14:textId="6611A6DA" w:rsidR="00ED0D0E" w:rsidRPr="00EE4D4B" w:rsidRDefault="00ED0D0E" w:rsidP="0023792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 xml:space="preserve">Wielkość </w:t>
            </w:r>
            <w:r w:rsidR="0023792F" w:rsidRPr="00EE4D4B">
              <w:rPr>
                <w:rFonts w:ascii="Open Sans Light" w:hAnsi="Open Sans Light" w:cs="Open Sans Light"/>
                <w:sz w:val="20"/>
                <w:szCs w:val="20"/>
              </w:rPr>
              <w:t>gminy</w:t>
            </w:r>
          </w:p>
        </w:tc>
        <w:tc>
          <w:tcPr>
            <w:tcW w:w="1701" w:type="dxa"/>
          </w:tcPr>
          <w:p w14:paraId="49CFD1BD" w14:textId="0153BD8F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48530302" w14:textId="6E68E96C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 xml:space="preserve">Podstawowa </w:t>
            </w:r>
          </w:p>
        </w:tc>
        <w:tc>
          <w:tcPr>
            <w:tcW w:w="3119" w:type="dxa"/>
          </w:tcPr>
          <w:p w14:paraId="33A75266" w14:textId="77777777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0D0E" w:rsidRPr="009919F1" w14:paraId="6D14E5CE" w14:textId="77777777" w:rsidTr="005D1D80">
        <w:tc>
          <w:tcPr>
            <w:tcW w:w="1224" w:type="dxa"/>
          </w:tcPr>
          <w:p w14:paraId="42376469" w14:textId="5BDB9CC7" w:rsidR="00ED0D0E" w:rsidRPr="00EE4D4B" w:rsidRDefault="005D042A" w:rsidP="0012308F">
            <w:pPr>
              <w:pStyle w:val="Akapitzlist"/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2. </w:t>
            </w:r>
          </w:p>
        </w:tc>
        <w:tc>
          <w:tcPr>
            <w:tcW w:w="5292" w:type="dxa"/>
          </w:tcPr>
          <w:p w14:paraId="6213E3C3" w14:textId="2AD17C57" w:rsidR="00ED0D0E" w:rsidRPr="00EE4D4B" w:rsidRDefault="0023792F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Zgodność z Programem Inwestycyjnym w zakresie poprawy jakości i ograniczania strat wody przeznaczonej do spożycia przez ludzi</w:t>
            </w:r>
          </w:p>
        </w:tc>
        <w:tc>
          <w:tcPr>
            <w:tcW w:w="1701" w:type="dxa"/>
          </w:tcPr>
          <w:p w14:paraId="6785049E" w14:textId="049BC170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3015A4F4" w14:textId="44AE2317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 xml:space="preserve">Podstawowa </w:t>
            </w:r>
          </w:p>
        </w:tc>
        <w:tc>
          <w:tcPr>
            <w:tcW w:w="3119" w:type="dxa"/>
          </w:tcPr>
          <w:p w14:paraId="4965FACF" w14:textId="77777777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0D0E" w:rsidRPr="009919F1" w14:paraId="3EBBA805" w14:textId="77777777" w:rsidTr="005D1D80">
        <w:tc>
          <w:tcPr>
            <w:tcW w:w="1224" w:type="dxa"/>
          </w:tcPr>
          <w:p w14:paraId="28ECD687" w14:textId="0AA69A8A" w:rsidR="00ED0D0E" w:rsidRPr="00EE4D4B" w:rsidRDefault="0023792F" w:rsidP="0012308F">
            <w:pPr>
              <w:pStyle w:val="Akapitzlist"/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="005D042A" w:rsidRPr="00EE4D4B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5292" w:type="dxa"/>
          </w:tcPr>
          <w:p w14:paraId="20EECEFD" w14:textId="52C2CCFE" w:rsidR="00ED0D0E" w:rsidRPr="00EE4D4B" w:rsidRDefault="0023792F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Jakość wody</w:t>
            </w:r>
          </w:p>
        </w:tc>
        <w:tc>
          <w:tcPr>
            <w:tcW w:w="1701" w:type="dxa"/>
          </w:tcPr>
          <w:p w14:paraId="5C27D50E" w14:textId="665898CA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04878081" w14:textId="750F0460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 xml:space="preserve">Podstawowa </w:t>
            </w:r>
          </w:p>
        </w:tc>
        <w:tc>
          <w:tcPr>
            <w:tcW w:w="3119" w:type="dxa"/>
          </w:tcPr>
          <w:p w14:paraId="5D597801" w14:textId="77777777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0D0E" w:rsidRPr="009919F1" w14:paraId="6E981097" w14:textId="77777777" w:rsidTr="005D1D80">
        <w:tc>
          <w:tcPr>
            <w:tcW w:w="1224" w:type="dxa"/>
          </w:tcPr>
          <w:p w14:paraId="316D8337" w14:textId="2CB85E85" w:rsidR="00ED0D0E" w:rsidRPr="00EE4D4B" w:rsidRDefault="0023792F" w:rsidP="0012308F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4</w:t>
            </w:r>
            <w:r w:rsidR="00734F8C" w:rsidRPr="00EE4D4B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5292" w:type="dxa"/>
          </w:tcPr>
          <w:p w14:paraId="514FABAC" w14:textId="0C64782C" w:rsidR="00ED0D0E" w:rsidRPr="00EE4D4B" w:rsidRDefault="0023792F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Rozbudowa systemów wodociągowych obsługujących aglomeracje zgodne z Dyrektywą 91/271/EWG</w:t>
            </w:r>
          </w:p>
        </w:tc>
        <w:tc>
          <w:tcPr>
            <w:tcW w:w="1701" w:type="dxa"/>
          </w:tcPr>
          <w:p w14:paraId="55650487" w14:textId="6FEA5E12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7879C564" w14:textId="7F254F6D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 xml:space="preserve">Podstawowa </w:t>
            </w:r>
          </w:p>
        </w:tc>
        <w:tc>
          <w:tcPr>
            <w:tcW w:w="3119" w:type="dxa"/>
          </w:tcPr>
          <w:p w14:paraId="72967A59" w14:textId="77777777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D0D0E" w:rsidRPr="009919F1" w14:paraId="3821D044" w14:textId="77777777" w:rsidTr="005D1D80">
        <w:tc>
          <w:tcPr>
            <w:tcW w:w="1224" w:type="dxa"/>
          </w:tcPr>
          <w:p w14:paraId="68B75DFA" w14:textId="69E6119E" w:rsidR="00ED0D0E" w:rsidRPr="00EE4D4B" w:rsidRDefault="0023792F" w:rsidP="0012308F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5</w:t>
            </w:r>
            <w:r w:rsidR="00734F8C" w:rsidRPr="00EE4D4B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5292" w:type="dxa"/>
          </w:tcPr>
          <w:p w14:paraId="5D9D2CB1" w14:textId="3F3A70B1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Gotowość projektu do realizacji</w:t>
            </w:r>
          </w:p>
        </w:tc>
        <w:tc>
          <w:tcPr>
            <w:tcW w:w="1701" w:type="dxa"/>
          </w:tcPr>
          <w:p w14:paraId="7DF2FACD" w14:textId="0D27CD95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71C85937" w14:textId="1F6B99AB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 xml:space="preserve">Podstawowa </w:t>
            </w:r>
          </w:p>
        </w:tc>
        <w:tc>
          <w:tcPr>
            <w:tcW w:w="3119" w:type="dxa"/>
          </w:tcPr>
          <w:p w14:paraId="2E1387CC" w14:textId="77777777" w:rsidR="00ED0D0E" w:rsidRPr="00EE4D4B" w:rsidRDefault="00ED0D0E" w:rsidP="001230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035FB" w:rsidRPr="0077612B" w14:paraId="35B92D19" w14:textId="77777777" w:rsidTr="005D1D80">
        <w:tc>
          <w:tcPr>
            <w:tcW w:w="13462" w:type="dxa"/>
            <w:gridSpan w:val="5"/>
            <w:shd w:val="clear" w:color="auto" w:fill="BFBFBF" w:themeFill="background1" w:themeFillShade="BF"/>
          </w:tcPr>
          <w:p w14:paraId="2AB94172" w14:textId="2495CD07" w:rsidR="000035FB" w:rsidRPr="00EE4D4B" w:rsidRDefault="007D676F" w:rsidP="0077612B">
            <w:pPr>
              <w:spacing w:line="276" w:lineRule="auto"/>
              <w:ind w:left="94"/>
              <w:jc w:val="both"/>
              <w:rPr>
                <w:rFonts w:ascii="Open Sans Light" w:hAnsi="Open Sans Light" w:cs="Open Sans Light"/>
                <w:b/>
                <w:sz w:val="20"/>
              </w:rPr>
            </w:pPr>
            <w:r w:rsidRPr="00EE4D4B">
              <w:rPr>
                <w:rFonts w:ascii="Open Sans Light" w:hAnsi="Open Sans Light" w:cs="Open Sans Light"/>
                <w:b/>
                <w:sz w:val="20"/>
              </w:rPr>
              <w:t>2. OCENA ETAP II</w:t>
            </w:r>
            <w:r w:rsidRPr="00EE4D4B" w:rsidDel="007D676F">
              <w:rPr>
                <w:rFonts w:ascii="Open Sans Light" w:hAnsi="Open Sans Light" w:cs="Open Sans Light"/>
                <w:b/>
                <w:sz w:val="20"/>
              </w:rPr>
              <w:t xml:space="preserve"> </w:t>
            </w:r>
          </w:p>
        </w:tc>
      </w:tr>
      <w:tr w:rsidR="007D676F" w:rsidRPr="009919F1" w14:paraId="3F87315E" w14:textId="77777777" w:rsidTr="005D1D80">
        <w:tc>
          <w:tcPr>
            <w:tcW w:w="13462" w:type="dxa"/>
            <w:gridSpan w:val="5"/>
            <w:shd w:val="clear" w:color="auto" w:fill="BFBFBF" w:themeFill="background1" w:themeFillShade="BF"/>
          </w:tcPr>
          <w:p w14:paraId="718612AB" w14:textId="7DB69367" w:rsidR="007D676F" w:rsidRPr="00EE4D4B" w:rsidRDefault="007D676F" w:rsidP="006C431D">
            <w:pPr>
              <w:pStyle w:val="Akapitzlist"/>
              <w:spacing w:line="276" w:lineRule="auto"/>
              <w:ind w:hanging="119"/>
              <w:jc w:val="both"/>
              <w:rPr>
                <w:rFonts w:ascii="Open Sans Light" w:hAnsi="Open Sans Light" w:cs="Open Sans Light"/>
                <w:sz w:val="20"/>
              </w:rPr>
            </w:pPr>
            <w:r w:rsidRPr="00EE4D4B">
              <w:rPr>
                <w:rFonts w:ascii="Open Sans Light" w:hAnsi="Open Sans Light" w:cs="Open Sans Light"/>
                <w:sz w:val="20"/>
              </w:rPr>
              <w:t xml:space="preserve">2.1 </w:t>
            </w:r>
            <w:r w:rsidR="006C431D" w:rsidRPr="00EE4D4B">
              <w:rPr>
                <w:rFonts w:ascii="Open Sans Light" w:hAnsi="Open Sans Light" w:cs="Open Sans Light"/>
                <w:sz w:val="20"/>
              </w:rPr>
              <w:t>KRYTERIA HORYZONTALNE</w:t>
            </w:r>
          </w:p>
        </w:tc>
      </w:tr>
      <w:tr w:rsidR="007D676F" w:rsidRPr="009919F1" w14:paraId="28C6812B" w14:textId="77777777" w:rsidTr="005D1D80">
        <w:tc>
          <w:tcPr>
            <w:tcW w:w="13462" w:type="dxa"/>
            <w:gridSpan w:val="5"/>
            <w:shd w:val="clear" w:color="auto" w:fill="BFBFBF" w:themeFill="background1" w:themeFillShade="BF"/>
          </w:tcPr>
          <w:p w14:paraId="108711E7" w14:textId="40BB4EF9" w:rsidR="007D676F" w:rsidRPr="00EE4D4B" w:rsidRDefault="007D676F" w:rsidP="007D676F">
            <w:pPr>
              <w:pStyle w:val="Akapitzlist"/>
              <w:spacing w:line="276" w:lineRule="auto"/>
              <w:ind w:left="1168"/>
              <w:jc w:val="both"/>
              <w:rPr>
                <w:rFonts w:ascii="Open Sans Light" w:hAnsi="Open Sans Light" w:cs="Open Sans Light"/>
                <w:sz w:val="20"/>
              </w:rPr>
            </w:pPr>
            <w:r w:rsidRPr="00EE4D4B">
              <w:rPr>
                <w:rFonts w:ascii="Open Sans Light" w:hAnsi="Open Sans Light" w:cs="Open Sans Light"/>
                <w:sz w:val="20"/>
              </w:rPr>
              <w:t>2.</w:t>
            </w:r>
            <w:r w:rsidR="004F2E34" w:rsidRPr="00EE4D4B">
              <w:rPr>
                <w:rFonts w:ascii="Open Sans Light" w:hAnsi="Open Sans Light" w:cs="Open Sans Light"/>
                <w:sz w:val="20"/>
              </w:rPr>
              <w:t>1</w:t>
            </w:r>
            <w:r w:rsidRPr="00EE4D4B">
              <w:rPr>
                <w:rFonts w:ascii="Open Sans Light" w:hAnsi="Open Sans Light" w:cs="Open Sans Light"/>
                <w:sz w:val="20"/>
              </w:rPr>
              <w:t>.1 KRYTERIA HORYZONTALNE</w:t>
            </w:r>
            <w:r w:rsidR="006C431D" w:rsidRPr="00EE4D4B">
              <w:rPr>
                <w:rFonts w:ascii="Open Sans Light" w:hAnsi="Open Sans Light" w:cs="Open Sans Light"/>
                <w:sz w:val="20"/>
              </w:rPr>
              <w:t xml:space="preserve"> OBLIGATORYJNE</w:t>
            </w:r>
          </w:p>
        </w:tc>
      </w:tr>
      <w:tr w:rsidR="00A12267" w:rsidRPr="009919F1" w14:paraId="2742969D" w14:textId="77777777" w:rsidTr="00A12267">
        <w:tc>
          <w:tcPr>
            <w:tcW w:w="1224" w:type="dxa"/>
          </w:tcPr>
          <w:p w14:paraId="7FF4F526" w14:textId="77777777" w:rsidR="00A12267" w:rsidRPr="00EE4D4B" w:rsidRDefault="00A12267" w:rsidP="0058663B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5.</w:t>
            </w:r>
          </w:p>
        </w:tc>
        <w:tc>
          <w:tcPr>
            <w:tcW w:w="5292" w:type="dxa"/>
          </w:tcPr>
          <w:p w14:paraId="736DBEFE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 xml:space="preserve">Kompletność dokumentacji aplikacyjnej i  spójność informacji zawartych we wniosku, załącznikach do wniosku. </w:t>
            </w:r>
          </w:p>
        </w:tc>
        <w:tc>
          <w:tcPr>
            <w:tcW w:w="1701" w:type="dxa"/>
          </w:tcPr>
          <w:p w14:paraId="544510C8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78A1A1E5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W każdym obszarze oceny na II etapie</w:t>
            </w:r>
          </w:p>
        </w:tc>
        <w:tc>
          <w:tcPr>
            <w:tcW w:w="3119" w:type="dxa"/>
          </w:tcPr>
          <w:p w14:paraId="6BCCB4D7" w14:textId="6C3AC974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 xml:space="preserve">Weryfikacja kompletności wymaganej dokumentacji aplikacyjnej oraz spójności informacji zawartych we wniosku oraz załącznikach do wniosku </w:t>
            </w:r>
            <w:r w:rsidRPr="00EE4D4B">
              <w:rPr>
                <w:rFonts w:ascii="Open Sans Light" w:hAnsi="Open Sans Light" w:cs="Open Sans Light"/>
                <w:b/>
                <w:sz w:val="20"/>
                <w:szCs w:val="20"/>
              </w:rPr>
              <w:t>w zakresie kryteriów ocenianych na danym etapie oceny</w:t>
            </w:r>
          </w:p>
        </w:tc>
      </w:tr>
      <w:tr w:rsidR="00A12267" w:rsidRPr="009919F1" w14:paraId="079CB322" w14:textId="77777777" w:rsidTr="00A12267">
        <w:tc>
          <w:tcPr>
            <w:tcW w:w="1224" w:type="dxa"/>
          </w:tcPr>
          <w:p w14:paraId="4098DE46" w14:textId="77777777" w:rsidR="00A12267" w:rsidRPr="00EE4D4B" w:rsidRDefault="00A12267" w:rsidP="0058663B">
            <w:pPr>
              <w:pStyle w:val="Akapitzlist"/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6.</w:t>
            </w:r>
          </w:p>
        </w:tc>
        <w:tc>
          <w:tcPr>
            <w:tcW w:w="5292" w:type="dxa"/>
          </w:tcPr>
          <w:p w14:paraId="43940A15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1701" w:type="dxa"/>
          </w:tcPr>
          <w:p w14:paraId="21539BA0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1F86145B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 xml:space="preserve">Ocena w zakresie pomocy publicznej </w:t>
            </w:r>
          </w:p>
        </w:tc>
        <w:tc>
          <w:tcPr>
            <w:tcW w:w="3119" w:type="dxa"/>
          </w:tcPr>
          <w:p w14:paraId="75C7A89E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12267" w:rsidRPr="009919F1" w14:paraId="15F9DA5A" w14:textId="77777777" w:rsidTr="00A12267">
        <w:tc>
          <w:tcPr>
            <w:tcW w:w="1224" w:type="dxa"/>
          </w:tcPr>
          <w:p w14:paraId="2190CB09" w14:textId="77777777" w:rsidR="00A12267" w:rsidRPr="00EE4D4B" w:rsidRDefault="00A12267" w:rsidP="0058663B">
            <w:pPr>
              <w:pStyle w:val="Akapitzlist"/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7.</w:t>
            </w:r>
          </w:p>
        </w:tc>
        <w:tc>
          <w:tcPr>
            <w:tcW w:w="5292" w:type="dxa"/>
          </w:tcPr>
          <w:p w14:paraId="4AC9EE23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Trwałość projektu </w:t>
            </w:r>
          </w:p>
        </w:tc>
        <w:tc>
          <w:tcPr>
            <w:tcW w:w="1701" w:type="dxa"/>
          </w:tcPr>
          <w:p w14:paraId="3FC194B3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007264A8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- Ocena w zakresie formalno-prawnym i technicznym</w:t>
            </w: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</w:t>
            </w:r>
          </w:p>
          <w:p w14:paraId="3F8C3B67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-</w:t>
            </w: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 xml:space="preserve">  Ocena w zakresie analizy finansowej </w:t>
            </w:r>
          </w:p>
        </w:tc>
        <w:tc>
          <w:tcPr>
            <w:tcW w:w="3119" w:type="dxa"/>
          </w:tcPr>
          <w:p w14:paraId="4012424F" w14:textId="77777777" w:rsidR="00000E78" w:rsidRPr="00EE4D4B" w:rsidRDefault="00000E78" w:rsidP="00000E7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Ocena w zakresie formalno-prawnym i technicznym dokonywana na podstawie oświadczenia.</w:t>
            </w:r>
          </w:p>
          <w:p w14:paraId="01CFA501" w14:textId="1786A2AC" w:rsidR="00A12267" w:rsidRPr="00EE4D4B" w:rsidRDefault="00000E78" w:rsidP="00000E7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Ocena w zakresie analizy finansowej dokonywana na podstawie informacji we WoD.</w:t>
            </w:r>
          </w:p>
        </w:tc>
      </w:tr>
      <w:tr w:rsidR="00A12267" w:rsidRPr="009919F1" w14:paraId="74632D7E" w14:textId="77777777" w:rsidTr="00A12267">
        <w:tc>
          <w:tcPr>
            <w:tcW w:w="1224" w:type="dxa"/>
          </w:tcPr>
          <w:p w14:paraId="2D3A7103" w14:textId="77777777" w:rsidR="00A12267" w:rsidRPr="00EE4D4B" w:rsidRDefault="00A12267" w:rsidP="0058663B">
            <w:pPr>
              <w:pStyle w:val="Akapitzlist"/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11.</w:t>
            </w:r>
          </w:p>
        </w:tc>
        <w:tc>
          <w:tcPr>
            <w:tcW w:w="5292" w:type="dxa"/>
          </w:tcPr>
          <w:p w14:paraId="360E410E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Stabilność finansowa projektu</w:t>
            </w:r>
          </w:p>
        </w:tc>
        <w:tc>
          <w:tcPr>
            <w:tcW w:w="1701" w:type="dxa"/>
          </w:tcPr>
          <w:p w14:paraId="5BE27C11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1ABE8B0B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Ocena w zakresie analizy finansowej</w:t>
            </w:r>
          </w:p>
        </w:tc>
        <w:tc>
          <w:tcPr>
            <w:tcW w:w="3119" w:type="dxa"/>
          </w:tcPr>
          <w:p w14:paraId="1AE8E9EF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12267" w:rsidRPr="009919F1" w14:paraId="65D2171E" w14:textId="77777777" w:rsidTr="00A12267">
        <w:tc>
          <w:tcPr>
            <w:tcW w:w="1224" w:type="dxa"/>
          </w:tcPr>
          <w:p w14:paraId="1BD53968" w14:textId="77777777" w:rsidR="00A12267" w:rsidRPr="00EE4D4B" w:rsidRDefault="00A12267" w:rsidP="0058663B">
            <w:pPr>
              <w:pStyle w:val="Akapitzlist"/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</w:p>
        </w:tc>
        <w:tc>
          <w:tcPr>
            <w:tcW w:w="5292" w:type="dxa"/>
          </w:tcPr>
          <w:p w14:paraId="5E07FD5B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Poprawność analizy finansowej i ekonomicznej </w:t>
            </w:r>
          </w:p>
        </w:tc>
        <w:tc>
          <w:tcPr>
            <w:tcW w:w="1701" w:type="dxa"/>
          </w:tcPr>
          <w:p w14:paraId="738F7D33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62C2F201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- Ocena w zakresie formalno-prawnym i technicznym</w:t>
            </w: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</w:t>
            </w:r>
          </w:p>
          <w:p w14:paraId="6BCB0087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-</w:t>
            </w: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 xml:space="preserve">  Ocena w zakresie analizy finansowej </w:t>
            </w:r>
          </w:p>
        </w:tc>
        <w:tc>
          <w:tcPr>
            <w:tcW w:w="3119" w:type="dxa"/>
          </w:tcPr>
          <w:p w14:paraId="65E03805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12267" w:rsidRPr="009919F1" w14:paraId="027B6F09" w14:textId="77777777" w:rsidTr="00A12267">
        <w:tc>
          <w:tcPr>
            <w:tcW w:w="1224" w:type="dxa"/>
          </w:tcPr>
          <w:p w14:paraId="47CDCB0A" w14:textId="77777777" w:rsidR="00A12267" w:rsidRPr="00EE4D4B" w:rsidRDefault="00A12267" w:rsidP="0058663B">
            <w:pPr>
              <w:pStyle w:val="Akapitzlist"/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13.</w:t>
            </w:r>
          </w:p>
        </w:tc>
        <w:tc>
          <w:tcPr>
            <w:tcW w:w="5292" w:type="dxa"/>
          </w:tcPr>
          <w:p w14:paraId="3CF3231D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Gotowość organizacyjno-instytucjonalna wnioskodawcy w obszarze zawierania umów</w:t>
            </w:r>
          </w:p>
        </w:tc>
        <w:tc>
          <w:tcPr>
            <w:tcW w:w="1701" w:type="dxa"/>
          </w:tcPr>
          <w:p w14:paraId="5696D943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7419D559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Ocena w zakresie zgodności z PZP</w:t>
            </w:r>
          </w:p>
        </w:tc>
        <w:tc>
          <w:tcPr>
            <w:tcW w:w="3119" w:type="dxa"/>
          </w:tcPr>
          <w:p w14:paraId="1E1ABAC2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12267" w:rsidRPr="009919F1" w14:paraId="4C943CE5" w14:textId="77777777" w:rsidTr="00A12267">
        <w:tc>
          <w:tcPr>
            <w:tcW w:w="1224" w:type="dxa"/>
          </w:tcPr>
          <w:p w14:paraId="545F557B" w14:textId="77777777" w:rsidR="00A12267" w:rsidRPr="00EE4D4B" w:rsidRDefault="00A12267" w:rsidP="0058663B">
            <w:pPr>
              <w:pStyle w:val="Akapitzlist"/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15.</w:t>
            </w:r>
          </w:p>
        </w:tc>
        <w:tc>
          <w:tcPr>
            <w:tcW w:w="5292" w:type="dxa"/>
          </w:tcPr>
          <w:p w14:paraId="685F25C7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eastAsia="Times New Roman" w:hAnsi="Open Sans Light" w:cs="Open Sans Light"/>
                <w:iCs/>
                <w:sz w:val="20"/>
                <w:szCs w:val="20"/>
                <w:lang w:eastAsia="pl-PL"/>
              </w:rPr>
              <w:t>Zgodność projektu z wymaganiami prawa dotyczącego ochrony środowiska</w:t>
            </w:r>
          </w:p>
        </w:tc>
        <w:tc>
          <w:tcPr>
            <w:tcW w:w="1701" w:type="dxa"/>
          </w:tcPr>
          <w:p w14:paraId="253928D3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1CDFDEDA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Ocena w zakresie zgodności z prawem ochrony środowiska</w:t>
            </w:r>
          </w:p>
        </w:tc>
        <w:tc>
          <w:tcPr>
            <w:tcW w:w="3119" w:type="dxa"/>
          </w:tcPr>
          <w:p w14:paraId="53750D83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12267" w:rsidRPr="009919F1" w14:paraId="50D2B896" w14:textId="77777777" w:rsidTr="00A12267">
        <w:tc>
          <w:tcPr>
            <w:tcW w:w="1224" w:type="dxa"/>
          </w:tcPr>
          <w:p w14:paraId="6DF10304" w14:textId="77777777" w:rsidR="00A12267" w:rsidRPr="00EE4D4B" w:rsidRDefault="00A12267" w:rsidP="0058663B">
            <w:pPr>
              <w:pStyle w:val="Akapitzlist"/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16.</w:t>
            </w:r>
          </w:p>
        </w:tc>
        <w:tc>
          <w:tcPr>
            <w:tcW w:w="5292" w:type="dxa"/>
          </w:tcPr>
          <w:p w14:paraId="520DAAE3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eastAsia="Times New Roman" w:hAnsi="Open Sans Light" w:cs="Open Sans Light"/>
                <w:iCs/>
                <w:sz w:val="20"/>
                <w:szCs w:val="20"/>
                <w:lang w:eastAsia="pl-PL"/>
              </w:rPr>
              <w:t xml:space="preserve">Zasada </w:t>
            </w: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zrównoważonego</w:t>
            </w:r>
            <w:r w:rsidRPr="00EE4D4B">
              <w:rPr>
                <w:rFonts w:ascii="Open Sans Light" w:eastAsia="Times New Roman" w:hAnsi="Open Sans Light" w:cs="Open Sans Light"/>
                <w:iCs/>
                <w:sz w:val="20"/>
                <w:szCs w:val="20"/>
                <w:lang w:eastAsia="pl-PL"/>
              </w:rPr>
              <w:t xml:space="preserve"> rozwoju, w tym zasada „nie czyń poważnej szkody”</w:t>
            </w:r>
          </w:p>
        </w:tc>
        <w:tc>
          <w:tcPr>
            <w:tcW w:w="1701" w:type="dxa"/>
          </w:tcPr>
          <w:p w14:paraId="716198CF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48302EF1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Ocena w zakresie zgodności z prawem ochrony środowiska</w:t>
            </w:r>
          </w:p>
        </w:tc>
        <w:tc>
          <w:tcPr>
            <w:tcW w:w="3119" w:type="dxa"/>
          </w:tcPr>
          <w:p w14:paraId="7B85A332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12267" w:rsidRPr="009919F1" w14:paraId="22E1EAE2" w14:textId="77777777" w:rsidTr="00A12267">
        <w:tc>
          <w:tcPr>
            <w:tcW w:w="1224" w:type="dxa"/>
          </w:tcPr>
          <w:p w14:paraId="3F004369" w14:textId="77777777" w:rsidR="00A12267" w:rsidRPr="00EE4D4B" w:rsidRDefault="00A12267" w:rsidP="0058663B">
            <w:pPr>
              <w:pStyle w:val="Akapitzlist"/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17.</w:t>
            </w:r>
          </w:p>
        </w:tc>
        <w:tc>
          <w:tcPr>
            <w:tcW w:w="5292" w:type="dxa"/>
          </w:tcPr>
          <w:p w14:paraId="0826E2B9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Odporność infrastruktury na zmiany klimatu</w:t>
            </w:r>
          </w:p>
        </w:tc>
        <w:tc>
          <w:tcPr>
            <w:tcW w:w="1701" w:type="dxa"/>
          </w:tcPr>
          <w:p w14:paraId="56D482EF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</w:tcPr>
          <w:p w14:paraId="31AFFFB7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Ocena w zakresie zgodności z prawem ochrony środowiska</w:t>
            </w:r>
          </w:p>
        </w:tc>
        <w:tc>
          <w:tcPr>
            <w:tcW w:w="3119" w:type="dxa"/>
          </w:tcPr>
          <w:p w14:paraId="47F1D0BE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12267" w:rsidRPr="00762AEF" w14:paraId="1E87434F" w14:textId="77777777" w:rsidTr="005451CC">
        <w:tc>
          <w:tcPr>
            <w:tcW w:w="1224" w:type="dxa"/>
            <w:tcBorders>
              <w:bottom w:val="single" w:sz="4" w:space="0" w:color="auto"/>
            </w:tcBorders>
          </w:tcPr>
          <w:p w14:paraId="4FFC9C1E" w14:textId="77777777" w:rsidR="00A12267" w:rsidRPr="00EE4D4B" w:rsidRDefault="00A12267" w:rsidP="0058663B">
            <w:pPr>
              <w:pStyle w:val="Akapitzlist"/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18.</w:t>
            </w:r>
          </w:p>
        </w:tc>
        <w:tc>
          <w:tcPr>
            <w:tcW w:w="5292" w:type="dxa"/>
            <w:tcBorders>
              <w:bottom w:val="single" w:sz="4" w:space="0" w:color="auto"/>
            </w:tcBorders>
          </w:tcPr>
          <w:p w14:paraId="28FE17B2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iCs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6DFD79D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>Ocena zerojedynkowa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45F749B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>Ocena w zakresie formalno-prawnym i technicznym</w:t>
            </w:r>
            <w:r w:rsidRPr="00EE4D4B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</w:t>
            </w:r>
          </w:p>
          <w:p w14:paraId="1D093E98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E4D4B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6B3105C" w14:textId="77777777" w:rsidR="00A12267" w:rsidRPr="00EE4D4B" w:rsidRDefault="00A12267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7612B" w:rsidRPr="005451CC" w14:paraId="48F0F34B" w14:textId="77777777" w:rsidTr="005451CC">
        <w:tc>
          <w:tcPr>
            <w:tcW w:w="13462" w:type="dxa"/>
            <w:gridSpan w:val="5"/>
            <w:tcBorders>
              <w:bottom w:val="nil"/>
            </w:tcBorders>
            <w:shd w:val="clear" w:color="auto" w:fill="BFBFBF" w:themeFill="background1" w:themeFillShade="BF"/>
          </w:tcPr>
          <w:p w14:paraId="51ABDAAD" w14:textId="714967EE" w:rsidR="0077612B" w:rsidRPr="00EE4D4B" w:rsidRDefault="0077612B" w:rsidP="005451CC">
            <w:pPr>
              <w:pStyle w:val="Akapitzlist"/>
              <w:spacing w:line="276" w:lineRule="auto"/>
              <w:ind w:left="1168"/>
              <w:jc w:val="both"/>
              <w:rPr>
                <w:rFonts w:ascii="Open Sans Light" w:hAnsi="Open Sans Light" w:cs="Open Sans Light"/>
                <w:sz w:val="20"/>
              </w:rPr>
            </w:pPr>
            <w:r w:rsidRPr="00EE4D4B">
              <w:rPr>
                <w:rFonts w:ascii="Open Sans Light" w:hAnsi="Open Sans Light" w:cs="Open Sans Light"/>
                <w:sz w:val="20"/>
              </w:rPr>
              <w:t xml:space="preserve">2.1.2 KRYTERIA HORYZONTALNE </w:t>
            </w:r>
            <w:r w:rsidR="005451CC" w:rsidRPr="00EE4D4B">
              <w:rPr>
                <w:rFonts w:ascii="Open Sans Light" w:hAnsi="Open Sans Light" w:cs="Open Sans Light"/>
                <w:sz w:val="20"/>
              </w:rPr>
              <w:t>RANKINGUJĄCE</w:t>
            </w:r>
          </w:p>
        </w:tc>
      </w:tr>
    </w:tbl>
    <w:tbl>
      <w:tblPr>
        <w:tblStyle w:val="Tabela-Siatka1"/>
        <w:tblW w:w="13462" w:type="dxa"/>
        <w:tblLayout w:type="fixed"/>
        <w:tblLook w:val="04A0" w:firstRow="1" w:lastRow="0" w:firstColumn="1" w:lastColumn="0" w:noHBand="0" w:noVBand="1"/>
        <w:tblCaption w:val="Podział kryteriów pomiędzy etapy oceny"/>
        <w:tblDescription w:val="W tabeli podzielono kryteria na te oceniane w I i II etapie oceny wniosków o dofinansowanie"/>
      </w:tblPr>
      <w:tblGrid>
        <w:gridCol w:w="1224"/>
        <w:gridCol w:w="5292"/>
        <w:gridCol w:w="1701"/>
        <w:gridCol w:w="2126"/>
        <w:gridCol w:w="3119"/>
      </w:tblGrid>
      <w:tr w:rsidR="0077612B" w:rsidRPr="009919F1" w14:paraId="6755E410" w14:textId="77777777" w:rsidTr="005451CC"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816F" w14:textId="77777777" w:rsidR="0077612B" w:rsidRPr="009919F1" w:rsidRDefault="0077612B" w:rsidP="0058663B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6321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eastAsia="Arial" w:hAnsi="Open Sans Light" w:cs="Open Sans Light"/>
                <w:iCs/>
                <w:sz w:val="20"/>
                <w:szCs w:val="20"/>
              </w:rPr>
              <w:t xml:space="preserve">Zastosowanie elementów z zakresu gospodarki o obiegu zamkniętym, poprawy efektywności energetycznej i OZE, </w:t>
            </w:r>
            <w:r w:rsidRPr="009919F1">
              <w:rPr>
                <w:rFonts w:ascii="Open Sans Light" w:eastAsia="Arial" w:hAnsi="Open Sans Light" w:cs="Open Sans Light"/>
                <w:iCs/>
                <w:sz w:val="20"/>
                <w:szCs w:val="20"/>
              </w:rPr>
              <w:lastRenderedPageBreak/>
              <w:t>ochrony przyrody (w tym różnorodności biologicznej) oraz adaptacji do zmian klimatu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C0BB" w14:textId="77777777" w:rsidR="0077612B" w:rsidRPr="0077612B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77612B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Ocena punktowa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944F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sz w:val="20"/>
                <w:szCs w:val="20"/>
              </w:rPr>
              <w:t>Podstawowa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7463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7612B" w:rsidRPr="009919F1" w14:paraId="05E8F8E2" w14:textId="77777777" w:rsidTr="005451CC">
        <w:tc>
          <w:tcPr>
            <w:tcW w:w="1224" w:type="dxa"/>
            <w:tcBorders>
              <w:top w:val="single" w:sz="4" w:space="0" w:color="auto"/>
            </w:tcBorders>
          </w:tcPr>
          <w:p w14:paraId="651B1B71" w14:textId="77777777" w:rsidR="0077612B" w:rsidRPr="009919F1" w:rsidRDefault="0077612B" w:rsidP="0058663B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sz w:val="20"/>
                <w:szCs w:val="20"/>
              </w:rPr>
              <w:t>2.</w:t>
            </w:r>
          </w:p>
        </w:tc>
        <w:tc>
          <w:tcPr>
            <w:tcW w:w="5292" w:type="dxa"/>
            <w:tcBorders>
              <w:top w:val="single" w:sz="4" w:space="0" w:color="auto"/>
            </w:tcBorders>
          </w:tcPr>
          <w:p w14:paraId="5BF8B1E3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Zastosowanie elementów edukacyjnych w projekcie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ECD4A9F" w14:textId="77777777" w:rsidR="0077612B" w:rsidRPr="0077612B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77612B">
              <w:rPr>
                <w:rFonts w:ascii="Open Sans Light" w:hAnsi="Open Sans Light" w:cs="Open Sans Light"/>
                <w:bCs/>
                <w:sz w:val="20"/>
                <w:szCs w:val="20"/>
              </w:rPr>
              <w:t>Ocena punktowa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4B4AAF3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320F096A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7612B" w:rsidRPr="009919F1" w14:paraId="5BC0A88F" w14:textId="77777777" w:rsidTr="0077612B">
        <w:tc>
          <w:tcPr>
            <w:tcW w:w="1224" w:type="dxa"/>
          </w:tcPr>
          <w:p w14:paraId="55A0B39E" w14:textId="77777777" w:rsidR="0077612B" w:rsidRPr="009919F1" w:rsidRDefault="0077612B" w:rsidP="0058663B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sz w:val="20"/>
                <w:szCs w:val="20"/>
              </w:rPr>
              <w:t>3.</w:t>
            </w:r>
          </w:p>
        </w:tc>
        <w:tc>
          <w:tcPr>
            <w:tcW w:w="5292" w:type="dxa"/>
          </w:tcPr>
          <w:p w14:paraId="1117931C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Zgodność projektu ze Strategią Unii Europejskiej dla regionu Morza Bałtyckiego (SUE RMB)</w:t>
            </w:r>
          </w:p>
        </w:tc>
        <w:tc>
          <w:tcPr>
            <w:tcW w:w="1701" w:type="dxa"/>
          </w:tcPr>
          <w:p w14:paraId="5073636D" w14:textId="77777777" w:rsidR="0077612B" w:rsidRPr="0077612B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77612B">
              <w:rPr>
                <w:rFonts w:ascii="Open Sans Light" w:hAnsi="Open Sans Light" w:cs="Open Sans Light"/>
                <w:bCs/>
                <w:sz w:val="20"/>
                <w:szCs w:val="20"/>
              </w:rPr>
              <w:t>Ocena punktowa</w:t>
            </w:r>
          </w:p>
        </w:tc>
        <w:tc>
          <w:tcPr>
            <w:tcW w:w="2126" w:type="dxa"/>
          </w:tcPr>
          <w:p w14:paraId="75BA26A9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016A07FA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7612B" w:rsidRPr="009919F1" w14:paraId="2FCD599C" w14:textId="77777777" w:rsidTr="0077612B">
        <w:tc>
          <w:tcPr>
            <w:tcW w:w="1224" w:type="dxa"/>
          </w:tcPr>
          <w:p w14:paraId="090F4C45" w14:textId="77777777" w:rsidR="0077612B" w:rsidRPr="009919F1" w:rsidRDefault="0077612B" w:rsidP="0058663B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sz w:val="20"/>
                <w:szCs w:val="20"/>
              </w:rPr>
              <w:t>4.</w:t>
            </w:r>
          </w:p>
        </w:tc>
        <w:tc>
          <w:tcPr>
            <w:tcW w:w="5292" w:type="dxa"/>
          </w:tcPr>
          <w:p w14:paraId="2AEDBB99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Projekt przewiduje elementy związane ze współpracą z partnerami z innych państw</w:t>
            </w:r>
          </w:p>
        </w:tc>
        <w:tc>
          <w:tcPr>
            <w:tcW w:w="1701" w:type="dxa"/>
          </w:tcPr>
          <w:p w14:paraId="7D42AFD3" w14:textId="77777777" w:rsidR="0077612B" w:rsidRPr="0077612B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77612B">
              <w:rPr>
                <w:rFonts w:ascii="Open Sans Light" w:hAnsi="Open Sans Light" w:cs="Open Sans Light"/>
                <w:bCs/>
                <w:sz w:val="20"/>
                <w:szCs w:val="20"/>
              </w:rPr>
              <w:t>Ocena punktowa</w:t>
            </w:r>
          </w:p>
        </w:tc>
        <w:tc>
          <w:tcPr>
            <w:tcW w:w="2126" w:type="dxa"/>
          </w:tcPr>
          <w:p w14:paraId="02602A4A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3E431D71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7612B" w:rsidRPr="009919F1" w14:paraId="5DFCA675" w14:textId="77777777" w:rsidTr="0077612B">
        <w:tc>
          <w:tcPr>
            <w:tcW w:w="1224" w:type="dxa"/>
          </w:tcPr>
          <w:p w14:paraId="73F3932E" w14:textId="77777777" w:rsidR="0077612B" w:rsidRPr="009919F1" w:rsidRDefault="0077612B" w:rsidP="0058663B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sz w:val="20"/>
                <w:szCs w:val="20"/>
              </w:rPr>
              <w:t>5.</w:t>
            </w:r>
          </w:p>
        </w:tc>
        <w:tc>
          <w:tcPr>
            <w:tcW w:w="5292" w:type="dxa"/>
          </w:tcPr>
          <w:p w14:paraId="62623FEC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Projekt jest operacją o strategicznym znaczeniu w rozumieniu przepisów art. 2 pkt 5 CPR</w:t>
            </w:r>
          </w:p>
          <w:p w14:paraId="6E3B3672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</w:p>
          <w:p w14:paraId="70A49AF6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5D9D0C4" w14:textId="77777777" w:rsidR="0077612B" w:rsidRPr="0077612B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77612B">
              <w:rPr>
                <w:rFonts w:ascii="Open Sans Light" w:hAnsi="Open Sans Light" w:cs="Open Sans Light"/>
                <w:bCs/>
                <w:sz w:val="20"/>
                <w:szCs w:val="20"/>
              </w:rPr>
              <w:t>Ocena punktowa</w:t>
            </w:r>
          </w:p>
        </w:tc>
        <w:tc>
          <w:tcPr>
            <w:tcW w:w="2126" w:type="dxa"/>
          </w:tcPr>
          <w:p w14:paraId="402AE3B8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486ECEB4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7612B" w:rsidRPr="009919F1" w14:paraId="3F1F4617" w14:textId="77777777" w:rsidTr="0077612B">
        <w:tc>
          <w:tcPr>
            <w:tcW w:w="1224" w:type="dxa"/>
          </w:tcPr>
          <w:p w14:paraId="408AB2E4" w14:textId="77777777" w:rsidR="0077612B" w:rsidRPr="009919F1" w:rsidRDefault="0077612B" w:rsidP="0058663B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sz w:val="20"/>
                <w:szCs w:val="20"/>
              </w:rPr>
              <w:t>6.</w:t>
            </w:r>
          </w:p>
        </w:tc>
        <w:tc>
          <w:tcPr>
            <w:tcW w:w="5292" w:type="dxa"/>
          </w:tcPr>
          <w:p w14:paraId="23FDAD3F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Projekt realizowany na obszarze strategicznej interwencji (OSI) wskazanym w Krajowej Strategii Rozwoju Regionalnego 2030 (KSRR):</w:t>
            </w:r>
          </w:p>
          <w:p w14:paraId="55EC0A40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miasta średnie tracące funkcje społeczno-gospodarcze/obszary zagrożone trwałą marginalizacją</w:t>
            </w:r>
          </w:p>
        </w:tc>
        <w:tc>
          <w:tcPr>
            <w:tcW w:w="1701" w:type="dxa"/>
          </w:tcPr>
          <w:p w14:paraId="5B521436" w14:textId="77777777" w:rsidR="0077612B" w:rsidRPr="0077612B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77612B">
              <w:rPr>
                <w:rFonts w:ascii="Open Sans Light" w:hAnsi="Open Sans Light" w:cs="Open Sans Light"/>
                <w:bCs/>
                <w:sz w:val="20"/>
                <w:szCs w:val="20"/>
              </w:rPr>
              <w:t>Ocena punktowa</w:t>
            </w:r>
          </w:p>
        </w:tc>
        <w:tc>
          <w:tcPr>
            <w:tcW w:w="2126" w:type="dxa"/>
          </w:tcPr>
          <w:p w14:paraId="76DE4916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48A6B94B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7612B" w:rsidRPr="009919F1" w14:paraId="4C162B70" w14:textId="77777777" w:rsidTr="0077612B">
        <w:tc>
          <w:tcPr>
            <w:tcW w:w="1224" w:type="dxa"/>
          </w:tcPr>
          <w:p w14:paraId="2DD0C403" w14:textId="77777777" w:rsidR="0077612B" w:rsidRPr="009919F1" w:rsidRDefault="0077612B" w:rsidP="0058663B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sz w:val="20"/>
                <w:szCs w:val="20"/>
              </w:rPr>
              <w:t>7.</w:t>
            </w:r>
          </w:p>
        </w:tc>
        <w:tc>
          <w:tcPr>
            <w:tcW w:w="5292" w:type="dxa"/>
          </w:tcPr>
          <w:p w14:paraId="3CFC70E5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Projekt realizowany na obszarze strategicznej interwencji (OSI) wskazanym w Krajowej Strategii Rozwoju Regionalnego 2030 (KSRR):</w:t>
            </w:r>
          </w:p>
          <w:p w14:paraId="3B83D7CF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Polska Wschodnia/Śląsk</w:t>
            </w:r>
          </w:p>
        </w:tc>
        <w:tc>
          <w:tcPr>
            <w:tcW w:w="1701" w:type="dxa"/>
          </w:tcPr>
          <w:p w14:paraId="4BFAF924" w14:textId="77777777" w:rsidR="0077612B" w:rsidRPr="0077612B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77612B">
              <w:rPr>
                <w:rFonts w:ascii="Open Sans Light" w:hAnsi="Open Sans Light" w:cs="Open Sans Light"/>
                <w:bCs/>
                <w:sz w:val="20"/>
                <w:szCs w:val="20"/>
              </w:rPr>
              <w:t>Ocena punktowa</w:t>
            </w:r>
          </w:p>
        </w:tc>
        <w:tc>
          <w:tcPr>
            <w:tcW w:w="2126" w:type="dxa"/>
          </w:tcPr>
          <w:p w14:paraId="7634A4DB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5CA54A09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7612B" w:rsidRPr="009919F1" w14:paraId="18D58603" w14:textId="77777777" w:rsidTr="0077612B">
        <w:tc>
          <w:tcPr>
            <w:tcW w:w="1224" w:type="dxa"/>
          </w:tcPr>
          <w:p w14:paraId="098D3E4F" w14:textId="77777777" w:rsidR="0077612B" w:rsidRPr="009919F1" w:rsidRDefault="0077612B" w:rsidP="0058663B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sz w:val="20"/>
                <w:szCs w:val="20"/>
              </w:rPr>
              <w:t>8.</w:t>
            </w:r>
          </w:p>
        </w:tc>
        <w:tc>
          <w:tcPr>
            <w:tcW w:w="5292" w:type="dxa"/>
          </w:tcPr>
          <w:p w14:paraId="0A9C0F48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Projekt wynikający z zapisów strategii terytorialnej (ZIT lub  IIT), bądź</w:t>
            </w:r>
            <w:r w:rsidRPr="009919F1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strategii rozwoju ponadlokalnego albo  wynikający z </w:t>
            </w:r>
            <w:r w:rsidRPr="009919F1">
              <w:rPr>
                <w:rFonts w:ascii="Open Sans Light" w:hAnsi="Open Sans Light" w:cs="Open Sans Light"/>
                <w:sz w:val="20"/>
                <w:szCs w:val="20"/>
              </w:rPr>
              <w:t xml:space="preserve">dokumentów strategicznych i/lub planistycznych powstałych w ramach współpracy samorządów (w tym  takich jak Centrum Wsparcia Doradczego, Partnerska Inicjatywa Miast, Program </w:t>
            </w:r>
            <w:r w:rsidRPr="009919F1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Rozwój Lokalny) lub komplementarny do ww. dokumentów  </w:t>
            </w:r>
          </w:p>
        </w:tc>
        <w:tc>
          <w:tcPr>
            <w:tcW w:w="1701" w:type="dxa"/>
          </w:tcPr>
          <w:p w14:paraId="2002E193" w14:textId="77777777" w:rsidR="0077612B" w:rsidRPr="0077612B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77612B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Ocena punktowa</w:t>
            </w:r>
          </w:p>
        </w:tc>
        <w:tc>
          <w:tcPr>
            <w:tcW w:w="2126" w:type="dxa"/>
          </w:tcPr>
          <w:p w14:paraId="29948285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415FF20C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7612B" w:rsidRPr="009919F1" w14:paraId="4B09B455" w14:textId="77777777" w:rsidTr="0077612B">
        <w:tc>
          <w:tcPr>
            <w:tcW w:w="1224" w:type="dxa"/>
          </w:tcPr>
          <w:p w14:paraId="5282D7C9" w14:textId="77777777" w:rsidR="0077612B" w:rsidRPr="009919F1" w:rsidRDefault="0077612B" w:rsidP="0058663B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sz w:val="20"/>
                <w:szCs w:val="20"/>
              </w:rPr>
              <w:t>9.</w:t>
            </w:r>
          </w:p>
        </w:tc>
        <w:tc>
          <w:tcPr>
            <w:tcW w:w="5292" w:type="dxa"/>
          </w:tcPr>
          <w:p w14:paraId="009D2ACA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Projekt jest finansowany również z innych źródeł finansowania niż fundusze UE.</w:t>
            </w:r>
          </w:p>
        </w:tc>
        <w:tc>
          <w:tcPr>
            <w:tcW w:w="1701" w:type="dxa"/>
          </w:tcPr>
          <w:p w14:paraId="287F4906" w14:textId="77777777" w:rsidR="0077612B" w:rsidRPr="0077612B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77612B">
              <w:rPr>
                <w:rFonts w:ascii="Open Sans Light" w:hAnsi="Open Sans Light" w:cs="Open Sans Light"/>
                <w:bCs/>
                <w:sz w:val="20"/>
                <w:szCs w:val="20"/>
              </w:rPr>
              <w:t>Ocena punktowa</w:t>
            </w:r>
          </w:p>
        </w:tc>
        <w:tc>
          <w:tcPr>
            <w:tcW w:w="2126" w:type="dxa"/>
          </w:tcPr>
          <w:p w14:paraId="36212327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304E6872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7612B" w:rsidRPr="009919F1" w14:paraId="25467792" w14:textId="77777777" w:rsidTr="0077612B">
        <w:tc>
          <w:tcPr>
            <w:tcW w:w="1224" w:type="dxa"/>
          </w:tcPr>
          <w:p w14:paraId="4E57EF54" w14:textId="77777777" w:rsidR="0077612B" w:rsidRPr="009919F1" w:rsidRDefault="0077612B" w:rsidP="0058663B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sz w:val="20"/>
                <w:szCs w:val="20"/>
              </w:rPr>
              <w:t>10.</w:t>
            </w:r>
          </w:p>
        </w:tc>
        <w:tc>
          <w:tcPr>
            <w:tcW w:w="5292" w:type="dxa"/>
          </w:tcPr>
          <w:p w14:paraId="1E854A2D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Projekt wpisuje się w realizację wartości Nowego Europejskiego </w:t>
            </w:r>
            <w:proofErr w:type="spellStart"/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Bauhausu</w:t>
            </w:r>
            <w:proofErr w:type="spellEnd"/>
          </w:p>
        </w:tc>
        <w:tc>
          <w:tcPr>
            <w:tcW w:w="1701" w:type="dxa"/>
          </w:tcPr>
          <w:p w14:paraId="7A7B5FF5" w14:textId="77777777" w:rsidR="0077612B" w:rsidRPr="0077612B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77612B">
              <w:rPr>
                <w:rFonts w:ascii="Open Sans Light" w:hAnsi="Open Sans Light" w:cs="Open Sans Light"/>
                <w:bCs/>
                <w:sz w:val="20"/>
                <w:szCs w:val="20"/>
              </w:rPr>
              <w:t>Ocena punktowa</w:t>
            </w:r>
          </w:p>
        </w:tc>
        <w:tc>
          <w:tcPr>
            <w:tcW w:w="2126" w:type="dxa"/>
          </w:tcPr>
          <w:p w14:paraId="6A1D425F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7F8826D3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7612B" w:rsidRPr="009919F1" w14:paraId="6B507588" w14:textId="77777777" w:rsidTr="0077612B">
        <w:tc>
          <w:tcPr>
            <w:tcW w:w="1224" w:type="dxa"/>
          </w:tcPr>
          <w:p w14:paraId="1B65ECE4" w14:textId="77777777" w:rsidR="0077612B" w:rsidRPr="009919F1" w:rsidRDefault="0077612B" w:rsidP="0058663B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sz w:val="20"/>
                <w:szCs w:val="20"/>
              </w:rPr>
              <w:t>11.</w:t>
            </w:r>
          </w:p>
        </w:tc>
        <w:tc>
          <w:tcPr>
            <w:tcW w:w="5292" w:type="dxa"/>
          </w:tcPr>
          <w:p w14:paraId="303D99EE" w14:textId="783E5919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Style w:val="rynqvb"/>
                <w:rFonts w:ascii="Open Sans Light" w:hAnsi="Open Sans Light" w:cs="Open Sans Light"/>
                <w:sz w:val="20"/>
                <w:szCs w:val="20"/>
              </w:rPr>
              <w:t>Partnerstwo międzysektorowe</w:t>
            </w:r>
          </w:p>
        </w:tc>
        <w:tc>
          <w:tcPr>
            <w:tcW w:w="1701" w:type="dxa"/>
          </w:tcPr>
          <w:p w14:paraId="464714A8" w14:textId="77777777" w:rsidR="0077612B" w:rsidRPr="0077612B" w:rsidRDefault="0077612B" w:rsidP="0058663B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77612B">
              <w:rPr>
                <w:rFonts w:ascii="Open Sans Light" w:hAnsi="Open Sans Light" w:cs="Open Sans Light"/>
                <w:bCs/>
                <w:sz w:val="20"/>
                <w:szCs w:val="20"/>
              </w:rPr>
              <w:t>Ocena punktowa</w:t>
            </w:r>
          </w:p>
        </w:tc>
        <w:tc>
          <w:tcPr>
            <w:tcW w:w="2126" w:type="dxa"/>
          </w:tcPr>
          <w:p w14:paraId="2FF038AA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2DBA9E1C" w14:textId="77777777" w:rsidR="0077612B" w:rsidRPr="009919F1" w:rsidRDefault="0077612B" w:rsidP="0058663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tbl>
      <w:tblPr>
        <w:tblStyle w:val="Tabela-Siatka"/>
        <w:tblW w:w="13462" w:type="dxa"/>
        <w:tblLayout w:type="fixed"/>
        <w:tblLook w:val="04A0" w:firstRow="1" w:lastRow="0" w:firstColumn="1" w:lastColumn="0" w:noHBand="0" w:noVBand="1"/>
        <w:tblCaption w:val="Podział kryteriów pomiędzy etapy oceny"/>
        <w:tblDescription w:val="W tabeli podzielono kryteria na te oceniane w I i II etapie oceny wniosków o dofinansowanie"/>
      </w:tblPr>
      <w:tblGrid>
        <w:gridCol w:w="1224"/>
        <w:gridCol w:w="5292"/>
        <w:gridCol w:w="1701"/>
        <w:gridCol w:w="2126"/>
        <w:gridCol w:w="3119"/>
      </w:tblGrid>
      <w:tr w:rsidR="000044AC" w:rsidRPr="009919F1" w14:paraId="79C2E2AE" w14:textId="77777777" w:rsidTr="005D1D80">
        <w:tc>
          <w:tcPr>
            <w:tcW w:w="13462" w:type="dxa"/>
            <w:gridSpan w:val="5"/>
            <w:shd w:val="clear" w:color="auto" w:fill="BFBFBF" w:themeFill="background1" w:themeFillShade="BF"/>
          </w:tcPr>
          <w:p w14:paraId="4E785788" w14:textId="5AC62BC8" w:rsidR="000044AC" w:rsidRPr="009919F1" w:rsidRDefault="000044AC" w:rsidP="005451CC">
            <w:pPr>
              <w:spacing w:line="276" w:lineRule="auto"/>
              <w:ind w:firstLine="601"/>
              <w:jc w:val="both"/>
              <w:rPr>
                <w:rFonts w:ascii="Open Sans Light" w:hAnsi="Open Sans Light" w:cs="Open Sans Light"/>
              </w:rPr>
            </w:pPr>
            <w:r w:rsidRPr="009919F1">
              <w:rPr>
                <w:rFonts w:ascii="Open Sans Light" w:hAnsi="Open Sans Light" w:cs="Open Sans Light"/>
              </w:rPr>
              <w:t xml:space="preserve">2.2 </w:t>
            </w:r>
            <w:r w:rsidR="005451CC">
              <w:rPr>
                <w:rFonts w:ascii="Open Sans Light" w:hAnsi="Open Sans Light" w:cs="Open Sans Light"/>
              </w:rPr>
              <w:t>KRYTERIA SPECYFICZNE RANKINGUJĄCE</w:t>
            </w:r>
          </w:p>
        </w:tc>
      </w:tr>
      <w:tr w:rsidR="005451CC" w:rsidRPr="009919F1" w14:paraId="2968A515" w14:textId="77777777" w:rsidTr="005D1D80">
        <w:tc>
          <w:tcPr>
            <w:tcW w:w="1224" w:type="dxa"/>
          </w:tcPr>
          <w:p w14:paraId="0B9D317D" w14:textId="459AF08D" w:rsidR="005451CC" w:rsidRPr="009919F1" w:rsidRDefault="005451CC" w:rsidP="005451CC">
            <w:pPr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5292" w:type="dxa"/>
          </w:tcPr>
          <w:p w14:paraId="2880324C" w14:textId="4FC73C8E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5451CC">
              <w:rPr>
                <w:rFonts w:ascii="Open Sans Light" w:hAnsi="Open Sans Light" w:cs="Open Sans Light"/>
                <w:iCs/>
                <w:sz w:val="20"/>
                <w:szCs w:val="20"/>
              </w:rPr>
              <w:t>Wydajność przedsiębiorstwa wodociągowo-kanalizacyjnego w zakresie zaopatrzenia w wodę</w:t>
            </w:r>
          </w:p>
        </w:tc>
        <w:tc>
          <w:tcPr>
            <w:tcW w:w="1701" w:type="dxa"/>
          </w:tcPr>
          <w:p w14:paraId="0697EA0D" w14:textId="24AFAD31" w:rsidR="005451CC" w:rsidRPr="005D1D80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7612B">
              <w:rPr>
                <w:rFonts w:ascii="Open Sans Light" w:hAnsi="Open Sans Light" w:cs="Open Sans Light"/>
                <w:bCs/>
                <w:sz w:val="20"/>
                <w:szCs w:val="20"/>
              </w:rPr>
              <w:t>Ocena punktowa</w:t>
            </w:r>
          </w:p>
        </w:tc>
        <w:tc>
          <w:tcPr>
            <w:tcW w:w="2126" w:type="dxa"/>
          </w:tcPr>
          <w:p w14:paraId="591655B0" w14:textId="5107BC26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48E23719" w14:textId="4ACCE568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451CC" w:rsidRPr="009919F1" w14:paraId="7D23868F" w14:textId="77777777" w:rsidTr="005D1D80">
        <w:tc>
          <w:tcPr>
            <w:tcW w:w="1224" w:type="dxa"/>
          </w:tcPr>
          <w:p w14:paraId="62CBFC8F" w14:textId="19D9497F" w:rsidR="005451CC" w:rsidRPr="009919F1" w:rsidRDefault="005451CC" w:rsidP="005451CC">
            <w:pPr>
              <w:pStyle w:val="Akapitzlist"/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  <w:r w:rsidRPr="009919F1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5292" w:type="dxa"/>
          </w:tcPr>
          <w:p w14:paraId="46A4F6B4" w14:textId="5C05F359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5451CC">
              <w:rPr>
                <w:rFonts w:ascii="Open Sans Light" w:hAnsi="Open Sans Light" w:cs="Open Sans Light"/>
                <w:iCs/>
                <w:sz w:val="20"/>
                <w:szCs w:val="20"/>
              </w:rPr>
              <w:t>Wiek sieci wodociągowej</w:t>
            </w:r>
          </w:p>
        </w:tc>
        <w:tc>
          <w:tcPr>
            <w:tcW w:w="1701" w:type="dxa"/>
          </w:tcPr>
          <w:p w14:paraId="419941CA" w14:textId="02B9DAA7" w:rsidR="005451CC" w:rsidRPr="005D1D80" w:rsidRDefault="005451CC" w:rsidP="005451CC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77612B">
              <w:rPr>
                <w:rFonts w:ascii="Open Sans Light" w:hAnsi="Open Sans Light" w:cs="Open Sans Light"/>
                <w:bCs/>
                <w:sz w:val="20"/>
                <w:szCs w:val="20"/>
              </w:rPr>
              <w:t>Ocena punktowa</w:t>
            </w:r>
          </w:p>
        </w:tc>
        <w:tc>
          <w:tcPr>
            <w:tcW w:w="2126" w:type="dxa"/>
          </w:tcPr>
          <w:p w14:paraId="2F7DB987" w14:textId="495A3283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05432D0A" w14:textId="77777777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451CC" w:rsidRPr="009919F1" w14:paraId="39B01011" w14:textId="77777777" w:rsidTr="005D1D80">
        <w:tc>
          <w:tcPr>
            <w:tcW w:w="1224" w:type="dxa"/>
          </w:tcPr>
          <w:p w14:paraId="2E91D8CB" w14:textId="72FDF2A9" w:rsidR="005451CC" w:rsidRPr="009919F1" w:rsidRDefault="005451CC" w:rsidP="005451CC">
            <w:pPr>
              <w:pStyle w:val="Akapitzlist"/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3.</w:t>
            </w:r>
          </w:p>
        </w:tc>
        <w:tc>
          <w:tcPr>
            <w:tcW w:w="5292" w:type="dxa"/>
          </w:tcPr>
          <w:p w14:paraId="2C36A622" w14:textId="5EEDA577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5451CC">
              <w:rPr>
                <w:rFonts w:ascii="Open Sans Light" w:hAnsi="Open Sans Light" w:cs="Open Sans Light"/>
                <w:iCs/>
                <w:sz w:val="20"/>
                <w:szCs w:val="20"/>
              </w:rPr>
              <w:t>Materiał sieci wodociągowej</w:t>
            </w:r>
          </w:p>
        </w:tc>
        <w:tc>
          <w:tcPr>
            <w:tcW w:w="1701" w:type="dxa"/>
          </w:tcPr>
          <w:p w14:paraId="08528FD9" w14:textId="60B47E9E" w:rsidR="005451CC" w:rsidRPr="005D1D80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7612B">
              <w:rPr>
                <w:rFonts w:ascii="Open Sans Light" w:hAnsi="Open Sans Light" w:cs="Open Sans Light"/>
                <w:bCs/>
                <w:sz w:val="20"/>
                <w:szCs w:val="20"/>
              </w:rPr>
              <w:t>Ocena punktowa</w:t>
            </w:r>
          </w:p>
        </w:tc>
        <w:tc>
          <w:tcPr>
            <w:tcW w:w="2126" w:type="dxa"/>
          </w:tcPr>
          <w:p w14:paraId="47903DA5" w14:textId="69E8A403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0399ADE0" w14:textId="77777777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451CC" w:rsidRPr="009919F1" w14:paraId="279F920D" w14:textId="77777777" w:rsidTr="005D1D80">
        <w:tc>
          <w:tcPr>
            <w:tcW w:w="1224" w:type="dxa"/>
          </w:tcPr>
          <w:p w14:paraId="1D757BCB" w14:textId="6911F916" w:rsidR="005451CC" w:rsidRPr="009919F1" w:rsidRDefault="005451CC" w:rsidP="005451CC">
            <w:pPr>
              <w:pStyle w:val="Akapitzlist"/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  <w:r w:rsidRPr="009919F1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5292" w:type="dxa"/>
          </w:tcPr>
          <w:p w14:paraId="3F1ADCC2" w14:textId="2795A185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5451CC">
              <w:rPr>
                <w:rFonts w:ascii="Open Sans Light" w:hAnsi="Open Sans Light" w:cs="Open Sans Light"/>
                <w:iCs/>
                <w:sz w:val="20"/>
                <w:szCs w:val="20"/>
              </w:rPr>
              <w:t>Wydajność przedsiębiorstwa wodociągowo-kanalizacyjnego w zakresie zaopatrzenia w wodę</w:t>
            </w:r>
          </w:p>
        </w:tc>
        <w:tc>
          <w:tcPr>
            <w:tcW w:w="1701" w:type="dxa"/>
          </w:tcPr>
          <w:p w14:paraId="5E9A231A" w14:textId="182140CB" w:rsidR="005451CC" w:rsidRPr="005D1D80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7612B">
              <w:rPr>
                <w:rFonts w:ascii="Open Sans Light" w:hAnsi="Open Sans Light" w:cs="Open Sans Light"/>
                <w:bCs/>
                <w:sz w:val="20"/>
                <w:szCs w:val="20"/>
              </w:rPr>
              <w:t>Ocena punktowa</w:t>
            </w:r>
          </w:p>
        </w:tc>
        <w:tc>
          <w:tcPr>
            <w:tcW w:w="2126" w:type="dxa"/>
          </w:tcPr>
          <w:p w14:paraId="0493D94B" w14:textId="32901C81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3703CB6B" w14:textId="77777777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451CC" w:rsidRPr="009919F1" w14:paraId="4B2092FF" w14:textId="77777777" w:rsidTr="005D1D80">
        <w:tc>
          <w:tcPr>
            <w:tcW w:w="1224" w:type="dxa"/>
          </w:tcPr>
          <w:p w14:paraId="2FB2CFD2" w14:textId="5C593554" w:rsidR="005451CC" w:rsidRPr="009919F1" w:rsidRDefault="005451CC" w:rsidP="005451CC">
            <w:pPr>
              <w:pStyle w:val="Akapitzlist"/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5</w:t>
            </w:r>
            <w:r w:rsidRPr="009919F1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5292" w:type="dxa"/>
          </w:tcPr>
          <w:p w14:paraId="79DB6F9F" w14:textId="45FEEA82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5451CC">
              <w:rPr>
                <w:rFonts w:ascii="Open Sans Light" w:hAnsi="Open Sans Light" w:cs="Open Sans Light"/>
                <w:iCs/>
                <w:sz w:val="20"/>
                <w:szCs w:val="20"/>
              </w:rPr>
              <w:t>Kategoryzacja inwestycji w skali województw wg Programu Inwestycyjnego w zakresie poprawy jakości i ograniczania strat wody przeznaczonej do spożycia przez ludzi</w:t>
            </w:r>
          </w:p>
        </w:tc>
        <w:tc>
          <w:tcPr>
            <w:tcW w:w="1701" w:type="dxa"/>
          </w:tcPr>
          <w:p w14:paraId="1EF022D6" w14:textId="08CACF1D" w:rsidR="005451CC" w:rsidRPr="005D1D80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7612B">
              <w:rPr>
                <w:rFonts w:ascii="Open Sans Light" w:hAnsi="Open Sans Light" w:cs="Open Sans Light"/>
                <w:bCs/>
                <w:sz w:val="20"/>
                <w:szCs w:val="20"/>
              </w:rPr>
              <w:t>Ocena punktowa</w:t>
            </w:r>
          </w:p>
        </w:tc>
        <w:tc>
          <w:tcPr>
            <w:tcW w:w="2126" w:type="dxa"/>
          </w:tcPr>
          <w:p w14:paraId="725619C6" w14:textId="787A4878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6C27BA3C" w14:textId="77777777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451CC" w:rsidRPr="009919F1" w14:paraId="0ADC90A3" w14:textId="77777777" w:rsidTr="005D1D80">
        <w:tc>
          <w:tcPr>
            <w:tcW w:w="1224" w:type="dxa"/>
          </w:tcPr>
          <w:p w14:paraId="3BB41C93" w14:textId="350A3542" w:rsidR="005451CC" w:rsidRPr="009919F1" w:rsidRDefault="005451CC" w:rsidP="005451CC">
            <w:pPr>
              <w:pStyle w:val="Akapitzlist"/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Pr="009919F1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5292" w:type="dxa"/>
          </w:tcPr>
          <w:p w14:paraId="07B90860" w14:textId="7CA98F35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5451CC">
              <w:rPr>
                <w:rFonts w:ascii="Open Sans Light" w:hAnsi="Open Sans Light" w:cs="Open Sans Light"/>
                <w:iCs/>
                <w:sz w:val="20"/>
                <w:szCs w:val="20"/>
              </w:rPr>
              <w:t>Przygotowanie projektu – gotowość do realizacji inwestycji</w:t>
            </w:r>
          </w:p>
        </w:tc>
        <w:tc>
          <w:tcPr>
            <w:tcW w:w="1701" w:type="dxa"/>
          </w:tcPr>
          <w:p w14:paraId="14B3B10F" w14:textId="0B30069A" w:rsidR="005451CC" w:rsidRPr="005D1D80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7612B">
              <w:rPr>
                <w:rFonts w:ascii="Open Sans Light" w:hAnsi="Open Sans Light" w:cs="Open Sans Light"/>
                <w:bCs/>
                <w:sz w:val="20"/>
                <w:szCs w:val="20"/>
              </w:rPr>
              <w:t>Ocena punktowa</w:t>
            </w:r>
          </w:p>
        </w:tc>
        <w:tc>
          <w:tcPr>
            <w:tcW w:w="2126" w:type="dxa"/>
          </w:tcPr>
          <w:p w14:paraId="6082FD9A" w14:textId="267FD35B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1C47D5AA" w14:textId="77777777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451CC" w:rsidRPr="009919F1" w14:paraId="64608E4E" w14:textId="77777777" w:rsidTr="005D1D80">
        <w:tc>
          <w:tcPr>
            <w:tcW w:w="1224" w:type="dxa"/>
          </w:tcPr>
          <w:p w14:paraId="77239B3D" w14:textId="0376938A" w:rsidR="005451CC" w:rsidRPr="009919F1" w:rsidRDefault="005451CC" w:rsidP="005451CC">
            <w:pPr>
              <w:pStyle w:val="Akapitzlist"/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  <w:r w:rsidRPr="009919F1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5292" w:type="dxa"/>
          </w:tcPr>
          <w:p w14:paraId="2C07735D" w14:textId="527B5C94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5451CC">
              <w:rPr>
                <w:rFonts w:ascii="Open Sans Light" w:eastAsia="Times New Roman" w:hAnsi="Open Sans Light" w:cs="Open Sans Light"/>
                <w:iCs/>
                <w:sz w:val="20"/>
                <w:szCs w:val="20"/>
                <w:lang w:eastAsia="pl-PL"/>
              </w:rPr>
              <w:t>Wydajność przedsiębiorstwa wodociągowo-kanalizacyjnego w zakresie zaopatrzenia w wodę</w:t>
            </w:r>
          </w:p>
        </w:tc>
        <w:tc>
          <w:tcPr>
            <w:tcW w:w="1701" w:type="dxa"/>
          </w:tcPr>
          <w:p w14:paraId="20224639" w14:textId="4EA18703" w:rsidR="005451CC" w:rsidRPr="005D1D80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7612B">
              <w:rPr>
                <w:rFonts w:ascii="Open Sans Light" w:hAnsi="Open Sans Light" w:cs="Open Sans Light"/>
                <w:bCs/>
                <w:sz w:val="20"/>
                <w:szCs w:val="20"/>
              </w:rPr>
              <w:t>Ocena punktowa</w:t>
            </w:r>
          </w:p>
        </w:tc>
        <w:tc>
          <w:tcPr>
            <w:tcW w:w="2126" w:type="dxa"/>
          </w:tcPr>
          <w:p w14:paraId="34E18888" w14:textId="6800E43C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4B3FA9C4" w14:textId="77777777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451CC" w:rsidRPr="009919F1" w14:paraId="117576D7" w14:textId="77777777" w:rsidTr="005D1D80">
        <w:tc>
          <w:tcPr>
            <w:tcW w:w="1224" w:type="dxa"/>
          </w:tcPr>
          <w:p w14:paraId="674038D3" w14:textId="5D856431" w:rsidR="005451CC" w:rsidRPr="009919F1" w:rsidRDefault="005451CC" w:rsidP="005451CC">
            <w:pPr>
              <w:pStyle w:val="Akapitzlist"/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  <w:r w:rsidRPr="009919F1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5292" w:type="dxa"/>
          </w:tcPr>
          <w:p w14:paraId="25D0E579" w14:textId="09C40234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5451CC">
              <w:rPr>
                <w:rFonts w:ascii="Open Sans Light" w:eastAsia="Times New Roman" w:hAnsi="Open Sans Light" w:cs="Open Sans Light"/>
                <w:iCs/>
                <w:sz w:val="20"/>
                <w:szCs w:val="20"/>
                <w:lang w:eastAsia="pl-PL"/>
              </w:rPr>
              <w:t>Zwiększanie efektywności systemów wodociągowych</w:t>
            </w:r>
          </w:p>
        </w:tc>
        <w:tc>
          <w:tcPr>
            <w:tcW w:w="1701" w:type="dxa"/>
          </w:tcPr>
          <w:p w14:paraId="5C820E24" w14:textId="334EF572" w:rsidR="005451CC" w:rsidRPr="005D1D80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7612B">
              <w:rPr>
                <w:rFonts w:ascii="Open Sans Light" w:hAnsi="Open Sans Light" w:cs="Open Sans Light"/>
                <w:bCs/>
                <w:sz w:val="20"/>
                <w:szCs w:val="20"/>
              </w:rPr>
              <w:t>Ocena punktowa</w:t>
            </w:r>
          </w:p>
        </w:tc>
        <w:tc>
          <w:tcPr>
            <w:tcW w:w="2126" w:type="dxa"/>
          </w:tcPr>
          <w:p w14:paraId="5A001F3C" w14:textId="1ED9E8CF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51BB1730" w14:textId="77777777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451CC" w:rsidRPr="009919F1" w14:paraId="49B18B0F" w14:textId="77777777" w:rsidTr="005D1D80">
        <w:tc>
          <w:tcPr>
            <w:tcW w:w="1224" w:type="dxa"/>
          </w:tcPr>
          <w:p w14:paraId="625CC6E2" w14:textId="555D4542" w:rsidR="005451CC" w:rsidRPr="009919F1" w:rsidRDefault="005451CC" w:rsidP="005451CC">
            <w:pPr>
              <w:pStyle w:val="Akapitzlist"/>
              <w:spacing w:line="276" w:lineRule="auto"/>
              <w:ind w:left="31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9</w:t>
            </w:r>
            <w:r w:rsidRPr="009919F1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5292" w:type="dxa"/>
          </w:tcPr>
          <w:p w14:paraId="1C46AF75" w14:textId="22A95F5B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5451CC">
              <w:rPr>
                <w:rFonts w:ascii="Open Sans Light" w:hAnsi="Open Sans Light" w:cs="Open Sans Light"/>
                <w:iCs/>
                <w:sz w:val="20"/>
                <w:szCs w:val="20"/>
              </w:rPr>
              <w:t>Edukacja ekologiczna w zakresie zarządzania zasobami wodnymi</w:t>
            </w:r>
          </w:p>
        </w:tc>
        <w:tc>
          <w:tcPr>
            <w:tcW w:w="1701" w:type="dxa"/>
          </w:tcPr>
          <w:p w14:paraId="3F800125" w14:textId="456035F2" w:rsidR="005451CC" w:rsidRPr="005D1D80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7612B">
              <w:rPr>
                <w:rFonts w:ascii="Open Sans Light" w:hAnsi="Open Sans Light" w:cs="Open Sans Light"/>
                <w:bCs/>
                <w:sz w:val="20"/>
                <w:szCs w:val="20"/>
              </w:rPr>
              <w:t>Ocena punktowa</w:t>
            </w:r>
          </w:p>
        </w:tc>
        <w:tc>
          <w:tcPr>
            <w:tcW w:w="2126" w:type="dxa"/>
          </w:tcPr>
          <w:p w14:paraId="5EC5EFCC" w14:textId="4A94D56F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919F1">
              <w:rPr>
                <w:rFonts w:ascii="Open Sans Light" w:hAnsi="Open Sans Light" w:cs="Open Sans Light"/>
                <w:iCs/>
                <w:sz w:val="20"/>
                <w:szCs w:val="20"/>
              </w:rPr>
              <w:t>Podstawowa</w:t>
            </w:r>
          </w:p>
        </w:tc>
        <w:tc>
          <w:tcPr>
            <w:tcW w:w="3119" w:type="dxa"/>
          </w:tcPr>
          <w:p w14:paraId="6A8D4C35" w14:textId="77777777" w:rsidR="005451CC" w:rsidRPr="009919F1" w:rsidRDefault="005451CC" w:rsidP="005451C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0EB398E3" w14:textId="77777777" w:rsidR="00AF09DE" w:rsidRPr="004D65AA" w:rsidRDefault="00AF09DE" w:rsidP="004D65AA">
      <w:pPr>
        <w:spacing w:after="0" w:line="276" w:lineRule="auto"/>
        <w:jc w:val="both"/>
        <w:rPr>
          <w:rFonts w:ascii="Open Sans Light" w:hAnsi="Open Sans Light" w:cs="Open Sans Light"/>
        </w:rPr>
      </w:pPr>
    </w:p>
    <w:sectPr w:rsidR="00AF09DE" w:rsidRPr="004D65AA" w:rsidSect="006B3920">
      <w:footerReference w:type="default" r:id="rId8"/>
      <w:headerReference w:type="first" r:id="rId9"/>
      <w:footerReference w:type="first" r:id="rId10"/>
      <w:pgSz w:w="16838" w:h="11906" w:orient="landscape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3FDD4" w14:textId="77777777" w:rsidR="006E7FB3" w:rsidRDefault="006E7FB3" w:rsidP="00810CA3">
      <w:pPr>
        <w:spacing w:after="0" w:line="240" w:lineRule="auto"/>
      </w:pPr>
      <w:r>
        <w:separator/>
      </w:r>
    </w:p>
  </w:endnote>
  <w:endnote w:type="continuationSeparator" w:id="0">
    <w:p w14:paraId="37A9466E" w14:textId="77777777" w:rsidR="006E7FB3" w:rsidRDefault="006E7FB3" w:rsidP="00810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3568013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</w:rPr>
    </w:sdtEndPr>
    <w:sdtContent>
      <w:p w14:paraId="43211DB2" w14:textId="7C4781B1" w:rsidR="00FA2D1D" w:rsidRPr="006B3920" w:rsidRDefault="00FA2D1D" w:rsidP="00FA2D1D">
        <w:pPr>
          <w:pStyle w:val="Stopka"/>
          <w:jc w:val="right"/>
          <w:rPr>
            <w:rFonts w:ascii="Open Sans Light" w:hAnsi="Open Sans Light" w:cs="Open Sans Light"/>
          </w:rPr>
        </w:pPr>
        <w:r w:rsidRPr="006B3920">
          <w:rPr>
            <w:rFonts w:ascii="Open Sans Light" w:hAnsi="Open Sans Light" w:cs="Open Sans Light"/>
          </w:rPr>
          <w:fldChar w:fldCharType="begin"/>
        </w:r>
        <w:r w:rsidRPr="006B3920">
          <w:rPr>
            <w:rFonts w:ascii="Open Sans Light" w:hAnsi="Open Sans Light" w:cs="Open Sans Light"/>
          </w:rPr>
          <w:instrText>PAGE   \* MERGEFORMAT</w:instrText>
        </w:r>
        <w:r w:rsidRPr="006B3920">
          <w:rPr>
            <w:rFonts w:ascii="Open Sans Light" w:hAnsi="Open Sans Light" w:cs="Open Sans Light"/>
          </w:rPr>
          <w:fldChar w:fldCharType="separate"/>
        </w:r>
        <w:r w:rsidR="00EE4D4B">
          <w:rPr>
            <w:rFonts w:ascii="Open Sans Light" w:hAnsi="Open Sans Light" w:cs="Open Sans Light"/>
            <w:noProof/>
          </w:rPr>
          <w:t>6</w:t>
        </w:r>
        <w:r w:rsidRPr="006B3920">
          <w:rPr>
            <w:rFonts w:ascii="Open Sans Light" w:hAnsi="Open Sans Light" w:cs="Open Sans Light"/>
          </w:rPr>
          <w:fldChar w:fldCharType="end"/>
        </w:r>
      </w:p>
    </w:sdtContent>
  </w:sdt>
  <w:p w14:paraId="21D4E5EE" w14:textId="77777777" w:rsidR="00FA2D1D" w:rsidRDefault="00FA2D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0618908"/>
      <w:docPartObj>
        <w:docPartGallery w:val="Page Numbers (Bottom of Page)"/>
        <w:docPartUnique/>
      </w:docPartObj>
    </w:sdtPr>
    <w:sdtContent>
      <w:p w14:paraId="1566911C" w14:textId="0FC48981" w:rsidR="00F6713F" w:rsidRDefault="00F6713F" w:rsidP="00F671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D4B">
          <w:rPr>
            <w:noProof/>
          </w:rPr>
          <w:t>1</w:t>
        </w:r>
        <w:r>
          <w:fldChar w:fldCharType="end"/>
        </w:r>
      </w:p>
    </w:sdtContent>
  </w:sdt>
  <w:p w14:paraId="5DF0AE77" w14:textId="77777777" w:rsidR="00FA2D1D" w:rsidRDefault="00FA2D1D" w:rsidP="00F6713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13E01" w14:textId="77777777" w:rsidR="006E7FB3" w:rsidRDefault="006E7FB3" w:rsidP="00810CA3">
      <w:pPr>
        <w:spacing w:after="0" w:line="240" w:lineRule="auto"/>
      </w:pPr>
      <w:r>
        <w:separator/>
      </w:r>
    </w:p>
  </w:footnote>
  <w:footnote w:type="continuationSeparator" w:id="0">
    <w:p w14:paraId="24F51CEE" w14:textId="77777777" w:rsidR="006E7FB3" w:rsidRDefault="006E7FB3" w:rsidP="00810CA3">
      <w:pPr>
        <w:spacing w:after="0" w:line="240" w:lineRule="auto"/>
      </w:pPr>
      <w:r>
        <w:continuationSeparator/>
      </w:r>
    </w:p>
  </w:footnote>
  <w:footnote w:id="1">
    <w:p w14:paraId="4D7F7F91" w14:textId="7E2F9D84" w:rsidR="00EE48EC" w:rsidRPr="006B3920" w:rsidRDefault="00EE48EC">
      <w:pPr>
        <w:pStyle w:val="Tekstprzypisudolnego"/>
        <w:rPr>
          <w:rFonts w:ascii="Open Sans Light" w:hAnsi="Open Sans Light" w:cs="Open Sans Light"/>
          <w:lang w:val="pl-PL"/>
        </w:rPr>
      </w:pPr>
      <w:r w:rsidRPr="006B3920">
        <w:rPr>
          <w:rStyle w:val="Odwoanieprzypisudolnego"/>
          <w:rFonts w:ascii="Open Sans Light" w:hAnsi="Open Sans Light" w:cs="Open Sans Light"/>
        </w:rPr>
        <w:footnoteRef/>
      </w:r>
      <w:r w:rsidRPr="006B3920">
        <w:rPr>
          <w:rFonts w:ascii="Open Sans Light" w:hAnsi="Open Sans Light" w:cs="Open Sans Light"/>
        </w:rPr>
        <w:t xml:space="preserve"> </w:t>
      </w:r>
      <w:r w:rsidRPr="006B3920">
        <w:rPr>
          <w:rFonts w:ascii="Open Sans Light" w:hAnsi="Open Sans Light" w:cs="Open Sans Light"/>
          <w:lang w:val="pl-PL"/>
        </w:rPr>
        <w:t xml:space="preserve">Zgodnie z wykazem kryteriów </w:t>
      </w:r>
      <w:r w:rsidR="00734F8C" w:rsidRPr="006B3920">
        <w:rPr>
          <w:rFonts w:ascii="Open Sans Light" w:hAnsi="Open Sans Light" w:cs="Open Sans Light"/>
          <w:lang w:val="pl-PL"/>
        </w:rPr>
        <w:t>stanowiącym załącznik nr 1 do Regulaminu wyboru projektów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39000" w14:textId="77777777" w:rsidR="005D1D80" w:rsidRPr="005D1D80" w:rsidRDefault="005D1D80" w:rsidP="005D1D80">
    <w:pPr>
      <w:tabs>
        <w:tab w:val="center" w:pos="4536"/>
        <w:tab w:val="right" w:pos="9072"/>
      </w:tabs>
      <w:spacing w:before="240" w:after="0" w:line="240" w:lineRule="auto"/>
      <w:rPr>
        <w:rFonts w:ascii="Calibri" w:eastAsia="Times New Roman" w:hAnsi="Calibri" w:cs="Times New Roman"/>
        <w:color w:val="000000"/>
        <w:sz w:val="20"/>
        <w:szCs w:val="20"/>
        <w:lang w:eastAsia="pl-PL"/>
      </w:rPr>
    </w:pPr>
    <w:r w:rsidRPr="005D1D80">
      <w:rPr>
        <w:rFonts w:ascii="Times New Roman" w:eastAsia="Times New Roman" w:hAnsi="Times New Roman" w:cs="Times New Roman"/>
        <w:noProof/>
        <w:color w:val="000000"/>
        <w:sz w:val="23"/>
        <w:lang w:eastAsia="pl-PL"/>
      </w:rPr>
      <w:drawing>
        <wp:inline distT="0" distB="0" distL="0" distR="0" wp14:anchorId="7A2838E5" wp14:editId="668B7A3E">
          <wp:extent cx="5585460" cy="717602"/>
          <wp:effectExtent l="0" t="0" r="0" b="6350"/>
          <wp:docPr id="2" name="Picture 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460" cy="7176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C6006"/>
    <w:multiLevelType w:val="multilevel"/>
    <w:tmpl w:val="467C80B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2" w:hanging="1440"/>
      </w:pPr>
      <w:rPr>
        <w:rFonts w:hint="default"/>
      </w:rPr>
    </w:lvl>
  </w:abstractNum>
  <w:abstractNum w:abstractNumId="1" w15:restartNumberingAfterBreak="0">
    <w:nsid w:val="0ECF3F58"/>
    <w:multiLevelType w:val="hybridMultilevel"/>
    <w:tmpl w:val="A6D6E766"/>
    <w:lvl w:ilvl="0" w:tplc="B2BC881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E2395"/>
    <w:multiLevelType w:val="hybridMultilevel"/>
    <w:tmpl w:val="6204CBB0"/>
    <w:lvl w:ilvl="0" w:tplc="7C72992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2499C"/>
    <w:multiLevelType w:val="hybridMultilevel"/>
    <w:tmpl w:val="592084D2"/>
    <w:lvl w:ilvl="0" w:tplc="EE2A79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977E8"/>
    <w:multiLevelType w:val="hybridMultilevel"/>
    <w:tmpl w:val="C0228CA4"/>
    <w:lvl w:ilvl="0" w:tplc="F730812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75366"/>
    <w:multiLevelType w:val="hybridMultilevel"/>
    <w:tmpl w:val="753276CE"/>
    <w:lvl w:ilvl="0" w:tplc="54ACD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46C2E"/>
    <w:multiLevelType w:val="hybridMultilevel"/>
    <w:tmpl w:val="DC4E5802"/>
    <w:lvl w:ilvl="0" w:tplc="FA16D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C1CC7"/>
    <w:multiLevelType w:val="hybridMultilevel"/>
    <w:tmpl w:val="9062634C"/>
    <w:lvl w:ilvl="0" w:tplc="D0D865A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20B66"/>
    <w:multiLevelType w:val="multilevel"/>
    <w:tmpl w:val="164CE026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3695"/>
        </w:tabs>
        <w:ind w:left="3695" w:hanging="576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4692"/>
        </w:tabs>
        <w:ind w:left="4692" w:hanging="864"/>
      </w:pPr>
      <w:rPr>
        <w:rFonts w:hint="default"/>
        <w:b w:val="0"/>
        <w:i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9A663EF"/>
    <w:multiLevelType w:val="hybridMultilevel"/>
    <w:tmpl w:val="77F0C79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72908"/>
    <w:multiLevelType w:val="hybridMultilevel"/>
    <w:tmpl w:val="B8C84664"/>
    <w:lvl w:ilvl="0" w:tplc="F23EE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D4E72"/>
    <w:multiLevelType w:val="multilevel"/>
    <w:tmpl w:val="736A1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99" w:hanging="43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32" w:hanging="1440"/>
      </w:pPr>
      <w:rPr>
        <w:rFonts w:hint="default"/>
      </w:rPr>
    </w:lvl>
  </w:abstractNum>
  <w:abstractNum w:abstractNumId="12" w15:restartNumberingAfterBreak="0">
    <w:nsid w:val="4AA44593"/>
    <w:multiLevelType w:val="hybridMultilevel"/>
    <w:tmpl w:val="9062634C"/>
    <w:lvl w:ilvl="0" w:tplc="D0D865A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94E86"/>
    <w:multiLevelType w:val="hybridMultilevel"/>
    <w:tmpl w:val="316EC2E8"/>
    <w:lvl w:ilvl="0" w:tplc="BD8E91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66311A"/>
    <w:multiLevelType w:val="hybridMultilevel"/>
    <w:tmpl w:val="CBCC03F0"/>
    <w:lvl w:ilvl="0" w:tplc="F5D0D18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F93AAB"/>
    <w:multiLevelType w:val="hybridMultilevel"/>
    <w:tmpl w:val="A0F67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D35B3"/>
    <w:multiLevelType w:val="hybridMultilevel"/>
    <w:tmpl w:val="80944EF2"/>
    <w:lvl w:ilvl="0" w:tplc="C0644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4C5C5F"/>
    <w:multiLevelType w:val="hybridMultilevel"/>
    <w:tmpl w:val="D772F25A"/>
    <w:lvl w:ilvl="0" w:tplc="F3E402F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E11D3B"/>
    <w:multiLevelType w:val="hybridMultilevel"/>
    <w:tmpl w:val="22A0D44C"/>
    <w:lvl w:ilvl="0" w:tplc="B31E0D6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B7FAF"/>
    <w:multiLevelType w:val="hybridMultilevel"/>
    <w:tmpl w:val="9062634C"/>
    <w:lvl w:ilvl="0" w:tplc="D0D865A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E0AF2"/>
    <w:multiLevelType w:val="hybridMultilevel"/>
    <w:tmpl w:val="4D0C5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4145C9"/>
    <w:multiLevelType w:val="hybridMultilevel"/>
    <w:tmpl w:val="A1664BCC"/>
    <w:lvl w:ilvl="0" w:tplc="FFFFFFFF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924763">
    <w:abstractNumId w:val="15"/>
  </w:num>
  <w:num w:numId="2" w16cid:durableId="2035567586">
    <w:abstractNumId w:val="20"/>
  </w:num>
  <w:num w:numId="3" w16cid:durableId="1818717467">
    <w:abstractNumId w:val="13"/>
  </w:num>
  <w:num w:numId="4" w16cid:durableId="1926381244">
    <w:abstractNumId w:val="9"/>
  </w:num>
  <w:num w:numId="5" w16cid:durableId="965115504">
    <w:abstractNumId w:val="21"/>
  </w:num>
  <w:num w:numId="6" w16cid:durableId="833758458">
    <w:abstractNumId w:val="11"/>
  </w:num>
  <w:num w:numId="7" w16cid:durableId="1017996872">
    <w:abstractNumId w:val="6"/>
  </w:num>
  <w:num w:numId="8" w16cid:durableId="1438796143">
    <w:abstractNumId w:val="7"/>
  </w:num>
  <w:num w:numId="9" w16cid:durableId="1300266820">
    <w:abstractNumId w:val="12"/>
  </w:num>
  <w:num w:numId="10" w16cid:durableId="943732344">
    <w:abstractNumId w:val="18"/>
  </w:num>
  <w:num w:numId="11" w16cid:durableId="803354183">
    <w:abstractNumId w:val="16"/>
  </w:num>
  <w:num w:numId="12" w16cid:durableId="2139837499">
    <w:abstractNumId w:val="19"/>
  </w:num>
  <w:num w:numId="13" w16cid:durableId="647975563">
    <w:abstractNumId w:val="1"/>
  </w:num>
  <w:num w:numId="14" w16cid:durableId="1663971408">
    <w:abstractNumId w:val="2"/>
  </w:num>
  <w:num w:numId="15" w16cid:durableId="200241515">
    <w:abstractNumId w:val="5"/>
  </w:num>
  <w:num w:numId="16" w16cid:durableId="863862425">
    <w:abstractNumId w:val="10"/>
  </w:num>
  <w:num w:numId="17" w16cid:durableId="345640174">
    <w:abstractNumId w:val="4"/>
  </w:num>
  <w:num w:numId="18" w16cid:durableId="869999543">
    <w:abstractNumId w:val="14"/>
  </w:num>
  <w:num w:numId="19" w16cid:durableId="873034646">
    <w:abstractNumId w:val="17"/>
  </w:num>
  <w:num w:numId="20" w16cid:durableId="422799204">
    <w:abstractNumId w:val="3"/>
  </w:num>
  <w:num w:numId="21" w16cid:durableId="129905639">
    <w:abstractNumId w:val="0"/>
  </w:num>
  <w:num w:numId="22" w16cid:durableId="19714716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9287A04"/>
    <w:rsid w:val="00000E78"/>
    <w:rsid w:val="000035FB"/>
    <w:rsid w:val="000044AC"/>
    <w:rsid w:val="00010F8B"/>
    <w:rsid w:val="000160F1"/>
    <w:rsid w:val="000253F0"/>
    <w:rsid w:val="00035DFC"/>
    <w:rsid w:val="00051452"/>
    <w:rsid w:val="00053E97"/>
    <w:rsid w:val="00072971"/>
    <w:rsid w:val="00094586"/>
    <w:rsid w:val="000A6C84"/>
    <w:rsid w:val="000A799A"/>
    <w:rsid w:val="000C12D5"/>
    <w:rsid w:val="000D1362"/>
    <w:rsid w:val="000D59D4"/>
    <w:rsid w:val="000E5837"/>
    <w:rsid w:val="000F0087"/>
    <w:rsid w:val="000F0F15"/>
    <w:rsid w:val="000F2A00"/>
    <w:rsid w:val="000F2EC0"/>
    <w:rsid w:val="00103E6C"/>
    <w:rsid w:val="0012308F"/>
    <w:rsid w:val="00124831"/>
    <w:rsid w:val="00146E44"/>
    <w:rsid w:val="00150E52"/>
    <w:rsid w:val="001818C1"/>
    <w:rsid w:val="00185F88"/>
    <w:rsid w:val="00187DFD"/>
    <w:rsid w:val="00193178"/>
    <w:rsid w:val="00195D8F"/>
    <w:rsid w:val="001972B3"/>
    <w:rsid w:val="001A56FB"/>
    <w:rsid w:val="001A7DB4"/>
    <w:rsid w:val="001B1C65"/>
    <w:rsid w:val="001B3D2E"/>
    <w:rsid w:val="001C6E71"/>
    <w:rsid w:val="001D2A40"/>
    <w:rsid w:val="001D3287"/>
    <w:rsid w:val="001D4186"/>
    <w:rsid w:val="001D7F58"/>
    <w:rsid w:val="001F2115"/>
    <w:rsid w:val="00232402"/>
    <w:rsid w:val="0023792F"/>
    <w:rsid w:val="00251962"/>
    <w:rsid w:val="00280724"/>
    <w:rsid w:val="002A10D5"/>
    <w:rsid w:val="002A45D1"/>
    <w:rsid w:val="002A5BD3"/>
    <w:rsid w:val="002C148A"/>
    <w:rsid w:val="002D702B"/>
    <w:rsid w:val="002F47E8"/>
    <w:rsid w:val="003130C2"/>
    <w:rsid w:val="00325F67"/>
    <w:rsid w:val="00351397"/>
    <w:rsid w:val="00373430"/>
    <w:rsid w:val="00375893"/>
    <w:rsid w:val="003945F4"/>
    <w:rsid w:val="003956E5"/>
    <w:rsid w:val="003A2EFF"/>
    <w:rsid w:val="003B145E"/>
    <w:rsid w:val="003B1932"/>
    <w:rsid w:val="003B6A68"/>
    <w:rsid w:val="003C2409"/>
    <w:rsid w:val="003E4D20"/>
    <w:rsid w:val="003E6AA1"/>
    <w:rsid w:val="00411124"/>
    <w:rsid w:val="00416EF0"/>
    <w:rsid w:val="00461058"/>
    <w:rsid w:val="00464F4D"/>
    <w:rsid w:val="004746BD"/>
    <w:rsid w:val="004C58DA"/>
    <w:rsid w:val="004D65AA"/>
    <w:rsid w:val="004F2C13"/>
    <w:rsid w:val="004F2E34"/>
    <w:rsid w:val="005028EE"/>
    <w:rsid w:val="00514B3A"/>
    <w:rsid w:val="00527F46"/>
    <w:rsid w:val="005451CC"/>
    <w:rsid w:val="00546E35"/>
    <w:rsid w:val="00561C97"/>
    <w:rsid w:val="00565FDB"/>
    <w:rsid w:val="00591F6C"/>
    <w:rsid w:val="00592C3C"/>
    <w:rsid w:val="00597D18"/>
    <w:rsid w:val="005C6E9E"/>
    <w:rsid w:val="005D042A"/>
    <w:rsid w:val="005D1D80"/>
    <w:rsid w:val="005E20ED"/>
    <w:rsid w:val="005E53B0"/>
    <w:rsid w:val="00602A28"/>
    <w:rsid w:val="00615648"/>
    <w:rsid w:val="00627A81"/>
    <w:rsid w:val="006546FC"/>
    <w:rsid w:val="00681400"/>
    <w:rsid w:val="006A123F"/>
    <w:rsid w:val="006A4459"/>
    <w:rsid w:val="006A5D7D"/>
    <w:rsid w:val="006A638B"/>
    <w:rsid w:val="006B3920"/>
    <w:rsid w:val="006C27A7"/>
    <w:rsid w:val="006C431D"/>
    <w:rsid w:val="006E7FB3"/>
    <w:rsid w:val="00734F8C"/>
    <w:rsid w:val="00762AEF"/>
    <w:rsid w:val="007758C3"/>
    <w:rsid w:val="0077612B"/>
    <w:rsid w:val="00786B28"/>
    <w:rsid w:val="007979AC"/>
    <w:rsid w:val="007D676F"/>
    <w:rsid w:val="007E5AEE"/>
    <w:rsid w:val="007F0468"/>
    <w:rsid w:val="007F7924"/>
    <w:rsid w:val="00803504"/>
    <w:rsid w:val="008049CA"/>
    <w:rsid w:val="00810CA3"/>
    <w:rsid w:val="00812572"/>
    <w:rsid w:val="00820C94"/>
    <w:rsid w:val="00822F02"/>
    <w:rsid w:val="00834B87"/>
    <w:rsid w:val="00875A15"/>
    <w:rsid w:val="00877684"/>
    <w:rsid w:val="00887120"/>
    <w:rsid w:val="00890E11"/>
    <w:rsid w:val="008A141B"/>
    <w:rsid w:val="008D5CC9"/>
    <w:rsid w:val="008D627E"/>
    <w:rsid w:val="00900951"/>
    <w:rsid w:val="00902EE3"/>
    <w:rsid w:val="009148EA"/>
    <w:rsid w:val="0093185F"/>
    <w:rsid w:val="0093621E"/>
    <w:rsid w:val="00937870"/>
    <w:rsid w:val="009416A5"/>
    <w:rsid w:val="00952B18"/>
    <w:rsid w:val="00962DB9"/>
    <w:rsid w:val="00967A39"/>
    <w:rsid w:val="00970397"/>
    <w:rsid w:val="009862A9"/>
    <w:rsid w:val="009919F1"/>
    <w:rsid w:val="009A0789"/>
    <w:rsid w:val="009A5942"/>
    <w:rsid w:val="009B1BEE"/>
    <w:rsid w:val="009C02D6"/>
    <w:rsid w:val="009D5274"/>
    <w:rsid w:val="009F3528"/>
    <w:rsid w:val="009F3F80"/>
    <w:rsid w:val="00A04786"/>
    <w:rsid w:val="00A12267"/>
    <w:rsid w:val="00A16A55"/>
    <w:rsid w:val="00A32F58"/>
    <w:rsid w:val="00A33CCF"/>
    <w:rsid w:val="00A40637"/>
    <w:rsid w:val="00A717A6"/>
    <w:rsid w:val="00A768B4"/>
    <w:rsid w:val="00A81AAE"/>
    <w:rsid w:val="00AB5143"/>
    <w:rsid w:val="00AB5AA5"/>
    <w:rsid w:val="00AC0BC6"/>
    <w:rsid w:val="00AE081F"/>
    <w:rsid w:val="00AF09DE"/>
    <w:rsid w:val="00B00E2E"/>
    <w:rsid w:val="00B04D64"/>
    <w:rsid w:val="00B16468"/>
    <w:rsid w:val="00B3698B"/>
    <w:rsid w:val="00B52A40"/>
    <w:rsid w:val="00B77E84"/>
    <w:rsid w:val="00BA2BCB"/>
    <w:rsid w:val="00BA3AB6"/>
    <w:rsid w:val="00BA4988"/>
    <w:rsid w:val="00BD264A"/>
    <w:rsid w:val="00BE51C0"/>
    <w:rsid w:val="00BE5A35"/>
    <w:rsid w:val="00C03333"/>
    <w:rsid w:val="00C05A24"/>
    <w:rsid w:val="00C11359"/>
    <w:rsid w:val="00C245C8"/>
    <w:rsid w:val="00C41B2E"/>
    <w:rsid w:val="00C7094D"/>
    <w:rsid w:val="00C93F60"/>
    <w:rsid w:val="00CC0B55"/>
    <w:rsid w:val="00D05511"/>
    <w:rsid w:val="00D07396"/>
    <w:rsid w:val="00D104AA"/>
    <w:rsid w:val="00D124DB"/>
    <w:rsid w:val="00D318EF"/>
    <w:rsid w:val="00D374D7"/>
    <w:rsid w:val="00D42046"/>
    <w:rsid w:val="00D42DD9"/>
    <w:rsid w:val="00D452FF"/>
    <w:rsid w:val="00D47C53"/>
    <w:rsid w:val="00D540CC"/>
    <w:rsid w:val="00D54FD9"/>
    <w:rsid w:val="00D57A85"/>
    <w:rsid w:val="00D677B7"/>
    <w:rsid w:val="00D75D15"/>
    <w:rsid w:val="00D90BE5"/>
    <w:rsid w:val="00DA3531"/>
    <w:rsid w:val="00DB0DA5"/>
    <w:rsid w:val="00DC78E2"/>
    <w:rsid w:val="00DD41E6"/>
    <w:rsid w:val="00DE557D"/>
    <w:rsid w:val="00DE6FD9"/>
    <w:rsid w:val="00DF0CD5"/>
    <w:rsid w:val="00E0053C"/>
    <w:rsid w:val="00E07795"/>
    <w:rsid w:val="00E17C18"/>
    <w:rsid w:val="00E22C49"/>
    <w:rsid w:val="00E376BF"/>
    <w:rsid w:val="00E776AC"/>
    <w:rsid w:val="00EA002A"/>
    <w:rsid w:val="00EA0D41"/>
    <w:rsid w:val="00EA5018"/>
    <w:rsid w:val="00EB1671"/>
    <w:rsid w:val="00EB6D13"/>
    <w:rsid w:val="00EC6D16"/>
    <w:rsid w:val="00ED0D0E"/>
    <w:rsid w:val="00ED6C3F"/>
    <w:rsid w:val="00EE1FEB"/>
    <w:rsid w:val="00EE48EC"/>
    <w:rsid w:val="00EE4D4B"/>
    <w:rsid w:val="00F1385F"/>
    <w:rsid w:val="00F227D3"/>
    <w:rsid w:val="00F45D8C"/>
    <w:rsid w:val="00F5447E"/>
    <w:rsid w:val="00F65C7F"/>
    <w:rsid w:val="00F66CE3"/>
    <w:rsid w:val="00F6713F"/>
    <w:rsid w:val="00F71954"/>
    <w:rsid w:val="00F71D97"/>
    <w:rsid w:val="00F81F8B"/>
    <w:rsid w:val="00F86760"/>
    <w:rsid w:val="00F87776"/>
    <w:rsid w:val="00F92374"/>
    <w:rsid w:val="00F93E98"/>
    <w:rsid w:val="00F96954"/>
    <w:rsid w:val="00FA0DF9"/>
    <w:rsid w:val="00FA2D1D"/>
    <w:rsid w:val="00FB1946"/>
    <w:rsid w:val="00FB7560"/>
    <w:rsid w:val="00FC61B8"/>
    <w:rsid w:val="00FE109D"/>
    <w:rsid w:val="00FE2FF3"/>
    <w:rsid w:val="08EB9055"/>
    <w:rsid w:val="0AA5180C"/>
    <w:rsid w:val="11810B14"/>
    <w:rsid w:val="19287A04"/>
    <w:rsid w:val="26E18E28"/>
    <w:rsid w:val="2C311513"/>
    <w:rsid w:val="34D054D0"/>
    <w:rsid w:val="35BC43C2"/>
    <w:rsid w:val="3BDB61F1"/>
    <w:rsid w:val="4101F389"/>
    <w:rsid w:val="413ECA26"/>
    <w:rsid w:val="48C76CE1"/>
    <w:rsid w:val="4A63FCD9"/>
    <w:rsid w:val="4F78FEA9"/>
    <w:rsid w:val="51A0D51C"/>
    <w:rsid w:val="52AAF3E9"/>
    <w:rsid w:val="6811FAF1"/>
    <w:rsid w:val="6B5DAFC9"/>
    <w:rsid w:val="6BC6AFEE"/>
    <w:rsid w:val="6E2AB4E0"/>
    <w:rsid w:val="73EC3F1D"/>
    <w:rsid w:val="76B4E6D4"/>
    <w:rsid w:val="78C9469C"/>
    <w:rsid w:val="7D409C2C"/>
    <w:rsid w:val="7FCC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287A04"/>
  <w15:chartTrackingRefBased/>
  <w15:docId w15:val="{F2ABF8A4-024D-4CFE-9F5A-8D7E2533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1CC"/>
  </w:style>
  <w:style w:type="paragraph" w:styleId="Nagwek1">
    <w:name w:val="heading 1"/>
    <w:aliases w:val="Rozdział Wytycznych"/>
    <w:basedOn w:val="Normalny"/>
    <w:next w:val="Normalny"/>
    <w:link w:val="Nagwek1Znak"/>
    <w:qFormat/>
    <w:rsid w:val="00D124DB"/>
    <w:pPr>
      <w:keepNext/>
      <w:numPr>
        <w:numId w:val="22"/>
      </w:numPr>
      <w:spacing w:before="120" w:after="120" w:line="360" w:lineRule="auto"/>
      <w:jc w:val="both"/>
      <w:outlineLvl w:val="0"/>
    </w:pPr>
    <w:rPr>
      <w:rFonts w:ascii="Times New Roman" w:eastAsia="MS Mincho" w:hAnsi="Times New Roman" w:cs="Times New Roman"/>
      <w:b/>
      <w:caps/>
      <w:sz w:val="24"/>
      <w:szCs w:val="20"/>
      <w:lang w:val="x-none" w:eastAsia="x-none"/>
    </w:rPr>
  </w:style>
  <w:style w:type="paragraph" w:styleId="Nagwek2">
    <w:name w:val="heading 2"/>
    <w:aliases w:val="Podrozdział Wytycznyc"/>
    <w:basedOn w:val="Normalny"/>
    <w:next w:val="Normalny"/>
    <w:link w:val="Nagwek2Znak"/>
    <w:qFormat/>
    <w:rsid w:val="00D124DB"/>
    <w:pPr>
      <w:keepNext/>
      <w:numPr>
        <w:ilvl w:val="1"/>
        <w:numId w:val="22"/>
      </w:numPr>
      <w:spacing w:before="120" w:after="120" w:line="360" w:lineRule="auto"/>
      <w:jc w:val="both"/>
      <w:outlineLvl w:val="1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Nagwek3">
    <w:name w:val="heading 3"/>
    <w:aliases w:val="Sekcja Wytycznych"/>
    <w:basedOn w:val="Normalny"/>
    <w:next w:val="Normalny"/>
    <w:link w:val="Nagwek3Znak"/>
    <w:qFormat/>
    <w:rsid w:val="00D124DB"/>
    <w:pPr>
      <w:keepNext/>
      <w:numPr>
        <w:ilvl w:val="2"/>
        <w:numId w:val="22"/>
      </w:numPr>
      <w:tabs>
        <w:tab w:val="clear" w:pos="720"/>
        <w:tab w:val="num" w:pos="1997"/>
      </w:tabs>
      <w:spacing w:before="240" w:after="120" w:line="360" w:lineRule="auto"/>
      <w:ind w:left="1997"/>
      <w:jc w:val="center"/>
      <w:outlineLvl w:val="2"/>
    </w:pPr>
    <w:rPr>
      <w:rFonts w:ascii="Arial" w:eastAsia="MS Mincho" w:hAnsi="Arial" w:cs="Times New Roman"/>
      <w:i/>
      <w:sz w:val="24"/>
      <w:szCs w:val="20"/>
      <w:lang w:val="x-none" w:eastAsia="x-none"/>
    </w:rPr>
  </w:style>
  <w:style w:type="paragraph" w:styleId="Nagwek4">
    <w:name w:val="heading 4"/>
    <w:aliases w:val="Podsekcja Wytycznych"/>
    <w:basedOn w:val="Normalny"/>
    <w:next w:val="Normalny"/>
    <w:link w:val="Nagwek4Znak"/>
    <w:qFormat/>
    <w:rsid w:val="00D124DB"/>
    <w:pPr>
      <w:keepNext/>
      <w:numPr>
        <w:ilvl w:val="3"/>
        <w:numId w:val="22"/>
      </w:numPr>
      <w:spacing w:before="240" w:after="120" w:line="360" w:lineRule="auto"/>
      <w:jc w:val="center"/>
      <w:outlineLvl w:val="3"/>
    </w:pPr>
    <w:rPr>
      <w:rFonts w:ascii="Arial" w:eastAsia="Times New Roman" w:hAnsi="Arial" w:cs="Times New Roman"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124DB"/>
    <w:pPr>
      <w:keepNext/>
      <w:numPr>
        <w:ilvl w:val="4"/>
        <w:numId w:val="22"/>
      </w:numPr>
      <w:spacing w:after="0" w:line="360" w:lineRule="auto"/>
      <w:jc w:val="both"/>
      <w:outlineLvl w:val="4"/>
    </w:pPr>
    <w:rPr>
      <w:rFonts w:ascii="Times New Roman" w:eastAsia="MS Mincho" w:hAnsi="Times New Roman" w:cs="Times New Roman"/>
      <w:sz w:val="24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D124DB"/>
    <w:pPr>
      <w:keepNext/>
      <w:numPr>
        <w:ilvl w:val="5"/>
        <w:numId w:val="22"/>
      </w:numPr>
      <w:spacing w:after="0" w:line="360" w:lineRule="auto"/>
      <w:outlineLvl w:val="5"/>
    </w:pPr>
    <w:rPr>
      <w:rFonts w:ascii="Times New Roman" w:eastAsia="Times New Roman" w:hAnsi="Times New Roman" w:cs="Times New Roman"/>
      <w:b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124DB"/>
    <w:pPr>
      <w:keepNext/>
      <w:numPr>
        <w:ilvl w:val="6"/>
        <w:numId w:val="22"/>
      </w:numPr>
      <w:spacing w:after="0" w:line="360" w:lineRule="auto"/>
      <w:jc w:val="both"/>
      <w:outlineLvl w:val="6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124DB"/>
    <w:pPr>
      <w:numPr>
        <w:ilvl w:val="7"/>
        <w:numId w:val="22"/>
      </w:numPr>
      <w:spacing w:before="240" w:after="60" w:line="36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124DB"/>
    <w:pPr>
      <w:numPr>
        <w:ilvl w:val="8"/>
        <w:numId w:val="22"/>
      </w:numPr>
      <w:spacing w:before="240" w:after="60" w:line="360" w:lineRule="auto"/>
      <w:jc w:val="both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5F67"/>
    <w:pPr>
      <w:ind w:left="720"/>
      <w:contextualSpacing/>
    </w:pPr>
  </w:style>
  <w:style w:type="character" w:customStyle="1" w:styleId="ui-provider">
    <w:name w:val="ui-provider"/>
    <w:basedOn w:val="Domylnaczcionkaakapitu"/>
    <w:rsid w:val="00103E6C"/>
  </w:style>
  <w:style w:type="paragraph" w:styleId="Poprawka">
    <w:name w:val="Revision"/>
    <w:hidden/>
    <w:uiPriority w:val="99"/>
    <w:semiHidden/>
    <w:rsid w:val="00FE109D"/>
    <w:pPr>
      <w:spacing w:after="0" w:line="240" w:lineRule="auto"/>
    </w:pPr>
  </w:style>
  <w:style w:type="table" w:styleId="Tabela-Siatka">
    <w:name w:val="Table Grid"/>
    <w:basedOn w:val="Standardowy"/>
    <w:uiPriority w:val="39"/>
    <w:rsid w:val="00810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unhideWhenUsed/>
    <w:rsid w:val="00810C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810CA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unhideWhenUsed/>
    <w:rsid w:val="00810CA3"/>
    <w:rPr>
      <w:vertAlign w:val="superscript"/>
    </w:rPr>
  </w:style>
  <w:style w:type="paragraph" w:customStyle="1" w:styleId="Default">
    <w:name w:val="Default"/>
    <w:rsid w:val="00810CA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ja-JP"/>
    </w:rPr>
  </w:style>
  <w:style w:type="character" w:customStyle="1" w:styleId="rynqvb">
    <w:name w:val="rynqvb"/>
    <w:basedOn w:val="Domylnaczcionkaakapitu"/>
    <w:rsid w:val="00F45D8C"/>
  </w:style>
  <w:style w:type="character" w:styleId="Odwoaniedokomentarza">
    <w:name w:val="annotation reference"/>
    <w:basedOn w:val="Domylnaczcionkaakapitu"/>
    <w:uiPriority w:val="99"/>
    <w:semiHidden/>
    <w:unhideWhenUsed/>
    <w:rsid w:val="002D70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70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70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0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0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7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0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00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951"/>
  </w:style>
  <w:style w:type="paragraph" w:styleId="Stopka">
    <w:name w:val="footer"/>
    <w:basedOn w:val="Normalny"/>
    <w:link w:val="StopkaZnak"/>
    <w:uiPriority w:val="99"/>
    <w:unhideWhenUsed/>
    <w:rsid w:val="00900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951"/>
  </w:style>
  <w:style w:type="table" w:customStyle="1" w:styleId="Tabela-Siatka1">
    <w:name w:val="Tabela - Siatka1"/>
    <w:basedOn w:val="Standardowy"/>
    <w:next w:val="Tabela-Siatka"/>
    <w:uiPriority w:val="39"/>
    <w:rsid w:val="00776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Wytycznych Znak"/>
    <w:basedOn w:val="Domylnaczcionkaakapitu"/>
    <w:link w:val="Nagwek1"/>
    <w:rsid w:val="00D124DB"/>
    <w:rPr>
      <w:rFonts w:ascii="Times New Roman" w:eastAsia="MS Mincho" w:hAnsi="Times New Roman" w:cs="Times New Roman"/>
      <w:b/>
      <w:caps/>
      <w:sz w:val="24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D124DB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124DB"/>
    <w:rPr>
      <w:rFonts w:ascii="Arial" w:eastAsia="MS Mincho" w:hAnsi="Arial" w:cs="Times New Roman"/>
      <w:i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D124DB"/>
    <w:rPr>
      <w:rFonts w:ascii="Arial" w:eastAsia="Times New Roman" w:hAnsi="Arial" w:cs="Times New Roman"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124DB"/>
    <w:rPr>
      <w:rFonts w:ascii="Times New Roman" w:eastAsia="MS Mincho" w:hAnsi="Times New Roman" w:cs="Times New Roman"/>
      <w:sz w:val="24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D124DB"/>
    <w:rPr>
      <w:rFonts w:ascii="Times New Roman" w:eastAsia="Times New Roman" w:hAnsi="Times New Roman" w:cs="Times New Roman"/>
      <w:b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124DB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124D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124DB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B9302-7237-4224-9A23-4E3FE19E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1002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2 do Regulaminu Podział kryteriów na etapy oceny</dc:title>
  <dc:subject/>
  <dc:creator>Młynarczyk Karolina</dc:creator>
  <cp:keywords/>
  <dc:description/>
  <cp:lastModifiedBy>Wardak Joanna</cp:lastModifiedBy>
  <cp:revision>6</cp:revision>
  <cp:lastPrinted>2023-09-27T07:29:00Z</cp:lastPrinted>
  <dcterms:created xsi:type="dcterms:W3CDTF">2023-10-17T14:23:00Z</dcterms:created>
  <dcterms:modified xsi:type="dcterms:W3CDTF">2023-10-27T10:33:00Z</dcterms:modified>
</cp:coreProperties>
</file>